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89" w:rsidRPr="00404F89" w:rsidRDefault="00404F89" w:rsidP="00404F89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b/>
          <w:lang w:eastAsia="ru-RU"/>
        </w:rPr>
      </w:pPr>
      <w:r w:rsidRPr="00404F89">
        <w:rPr>
          <w:rFonts w:ascii="Tahoma" w:eastAsia="Times New Roman" w:hAnsi="Tahoma" w:cs="Times New Roman"/>
          <w:b/>
          <w:lang w:eastAsia="ru-RU"/>
        </w:rPr>
        <w:t>ФЕДЕРАЛЬНАЯ СЛУЖБА ГОСУДАРСТВЕННОЙ СТАТИСТИКИ</w:t>
      </w:r>
    </w:p>
    <w:p w:rsidR="00404F89" w:rsidRPr="00404F89" w:rsidRDefault="00404F89" w:rsidP="00404F89">
      <w:pPr>
        <w:spacing w:before="60"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Территориальный орган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val="x-none" w:eastAsia="x-none"/>
        </w:rPr>
        <w:t>Федеральной службы государственной статистики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по Псковской области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  <w:r w:rsidRPr="00404F89">
        <w:rPr>
          <w:rFonts w:ascii="Tahoma" w:eastAsia="Times New Roman" w:hAnsi="Tahoma" w:cs="Times New Roman"/>
          <w:b/>
          <w:lang w:val="x-none" w:eastAsia="x-none"/>
        </w:rPr>
        <w:t>(Псковстат)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Основные показатели финансовой деятельности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0B261E">
        <w:rPr>
          <w:rFonts w:ascii="Tahoma" w:eastAsia="Times New Roman" w:hAnsi="Tahoma" w:cs="Times New Roman"/>
          <w:b/>
          <w:sz w:val="28"/>
          <w:szCs w:val="24"/>
          <w:lang w:eastAsia="x-none"/>
        </w:rPr>
        <w:t>малых организаций</w:t>
      </w:r>
      <w:r w:rsidRPr="00404F89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8"/>
          <w:szCs w:val="24"/>
          <w:lang w:eastAsia="x-none"/>
        </w:rPr>
        <w:br/>
      </w:r>
      <w:r w:rsidR="00671CEC">
        <w:rPr>
          <w:rFonts w:ascii="Tahoma" w:eastAsia="Times New Roman" w:hAnsi="Tahoma" w:cs="Times New Roman"/>
          <w:b/>
          <w:sz w:val="28"/>
          <w:szCs w:val="24"/>
          <w:lang w:val="x-none" w:eastAsia="x-none"/>
        </w:rPr>
        <w:t xml:space="preserve">по </w:t>
      </w:r>
      <w:r w:rsidR="00671CEC">
        <w:rPr>
          <w:rFonts w:ascii="Tahoma" w:eastAsia="Times New Roman" w:hAnsi="Tahoma" w:cs="Times New Roman"/>
          <w:b/>
          <w:sz w:val="28"/>
          <w:szCs w:val="24"/>
          <w:lang w:eastAsia="x-none"/>
        </w:rPr>
        <w:t>муниципальному образованию «Бежаницкий район»</w:t>
      </w:r>
      <w:r w:rsidRPr="00404F89">
        <w:rPr>
          <w:rFonts w:ascii="Tahoma" w:eastAsia="Times New Roman" w:hAnsi="Tahoma" w:cs="Times New Roman"/>
          <w:b/>
          <w:sz w:val="24"/>
          <w:szCs w:val="24"/>
          <w:lang w:eastAsia="x-none"/>
        </w:rPr>
        <w:br/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>за 20</w:t>
      </w:r>
      <w:r w:rsidR="00274554">
        <w:rPr>
          <w:rFonts w:ascii="Tahoma" w:eastAsia="Times New Roman" w:hAnsi="Tahoma" w:cs="Times New Roman"/>
          <w:b/>
          <w:sz w:val="24"/>
          <w:szCs w:val="24"/>
          <w:lang w:eastAsia="x-none"/>
        </w:rPr>
        <w:t>22</w:t>
      </w:r>
      <w:r w:rsidRPr="00404F89">
        <w:rPr>
          <w:rFonts w:ascii="Tahoma" w:eastAsia="Times New Roman" w:hAnsi="Tahoma" w:cs="Times New Roman"/>
          <w:b/>
          <w:sz w:val="24"/>
          <w:szCs w:val="24"/>
          <w:lang w:val="x-none" w:eastAsia="x-none"/>
        </w:rPr>
        <w:t xml:space="preserve"> год 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Cs w:val="28"/>
          <w:lang w:val="x-none" w:eastAsia="x-none"/>
        </w:rPr>
      </w:pPr>
      <w:r w:rsidRPr="00404F89">
        <w:rPr>
          <w:rFonts w:ascii="Tahoma" w:eastAsia="Times New Roman" w:hAnsi="Tahoma" w:cs="Tahoma"/>
          <w:szCs w:val="28"/>
          <w:lang w:eastAsia="ru-RU"/>
        </w:rPr>
        <w:t>(по данным бухгалтерской (финансовой) отчетности организаций)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  <w:r w:rsidRPr="00404F89">
        <w:rPr>
          <w:rFonts w:ascii="Tahoma" w:eastAsia="Times New Roman" w:hAnsi="Tahoma" w:cs="Tahoma"/>
          <w:b/>
          <w:sz w:val="24"/>
          <w:lang w:eastAsia="ru-RU"/>
        </w:rPr>
        <w:t>Статистический бюллетень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Псков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val="x-none" w:eastAsia="x-none"/>
        </w:rPr>
        <w:t>20</w:t>
      </w:r>
      <w:r w:rsidRPr="00404F89">
        <w:rPr>
          <w:rFonts w:ascii="Tahoma" w:eastAsia="Times New Roman" w:hAnsi="Tahoma" w:cs="Tahoma"/>
          <w:b/>
          <w:lang w:eastAsia="x-none"/>
        </w:rPr>
        <w:t>2</w:t>
      </w:r>
      <w:r w:rsidR="00274554">
        <w:rPr>
          <w:rFonts w:ascii="Tahoma" w:eastAsia="Times New Roman" w:hAnsi="Tahoma" w:cs="Tahoma"/>
          <w:b/>
          <w:lang w:eastAsia="x-none"/>
        </w:rPr>
        <w:t>3</w:t>
      </w: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ind w:firstLine="567"/>
        <w:jc w:val="both"/>
        <w:rPr>
          <w:rFonts w:ascii="Tahoma" w:eastAsia="Times New Roman" w:hAnsi="Tahoma" w:cs="Times New Roman"/>
          <w:sz w:val="24"/>
          <w:szCs w:val="24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В бюллетене представлены материалы, характеризующие финансово-хозяйственную деятельность субъектов малого предпринимательства (малых организаций) в 20</w:t>
      </w:r>
      <w:r w:rsidR="00274554">
        <w:rPr>
          <w:rFonts w:ascii="Tahoma" w:eastAsia="Times New Roman" w:hAnsi="Tahoma" w:cs="Tahoma"/>
          <w:lang w:eastAsia="ru-RU"/>
        </w:rPr>
        <w:t>22</w:t>
      </w:r>
      <w:r w:rsidRPr="00404F89">
        <w:rPr>
          <w:rFonts w:ascii="Tahoma" w:eastAsia="Times New Roman" w:hAnsi="Tahoma" w:cs="Tahoma"/>
          <w:lang w:eastAsia="ru-RU"/>
        </w:rPr>
        <w:t xml:space="preserve"> году по муниципальным районам и городским округам.</w:t>
      </w:r>
      <w:r w:rsidRPr="00404F89">
        <w:rPr>
          <w:rFonts w:ascii="Tahoma" w:eastAsia="Times New Roman" w:hAnsi="Tahoma" w:cs="Tahoma"/>
          <w:b/>
          <w:lang w:eastAsia="ru-RU"/>
        </w:rPr>
        <w:t xml:space="preserve"> </w:t>
      </w:r>
      <w:r w:rsidRPr="00404F89">
        <w:rPr>
          <w:rFonts w:ascii="Tahoma" w:eastAsia="Times New Roman" w:hAnsi="Tahoma" w:cs="Tahoma"/>
          <w:lang w:eastAsia="ru-RU"/>
        </w:rPr>
        <w:t>Приведены сведения о финансовом состоянии и платежеспособности организаций всех форм собственности</w:t>
      </w:r>
      <w:r w:rsidRPr="00404F89">
        <w:rPr>
          <w:rFonts w:ascii="Tahoma" w:eastAsia="Times New Roman" w:hAnsi="Tahoma" w:cs="Tahoma"/>
          <w:i/>
          <w:lang w:eastAsia="ru-RU"/>
        </w:rPr>
        <w:t xml:space="preserve">, </w:t>
      </w:r>
      <w:r w:rsidRPr="00404F89">
        <w:rPr>
          <w:rFonts w:ascii="Tahoma" w:eastAsia="Times New Roman" w:hAnsi="Tahoma" w:cs="Tahoma"/>
          <w:lang w:eastAsia="ru-RU"/>
        </w:rPr>
        <w:t>полученные из государственного информационного ресурса бухгалтерской (финансовой) отчётности (опер</w:t>
      </w:r>
      <w:r w:rsidR="00274554">
        <w:rPr>
          <w:rFonts w:ascii="Tahoma" w:eastAsia="Times New Roman" w:hAnsi="Tahoma" w:cs="Tahoma"/>
          <w:lang w:eastAsia="ru-RU"/>
        </w:rPr>
        <w:t>а</w:t>
      </w:r>
      <w:r w:rsidR="00B33869">
        <w:rPr>
          <w:rFonts w:ascii="Tahoma" w:eastAsia="Times New Roman" w:hAnsi="Tahoma" w:cs="Tahoma"/>
          <w:lang w:eastAsia="ru-RU"/>
        </w:rPr>
        <w:t>тор – ФНС РФ) по состоянию на 11</w:t>
      </w:r>
      <w:r w:rsidRPr="00404F89">
        <w:rPr>
          <w:rFonts w:ascii="Tahoma" w:eastAsia="Times New Roman" w:hAnsi="Tahoma" w:cs="Tahoma"/>
          <w:lang w:eastAsia="ru-RU"/>
        </w:rPr>
        <w:t xml:space="preserve"> </w:t>
      </w:r>
      <w:r w:rsidR="00B47780">
        <w:rPr>
          <w:rFonts w:ascii="Tahoma" w:eastAsia="Times New Roman" w:hAnsi="Tahoma" w:cs="Tahoma"/>
          <w:lang w:eastAsia="ru-RU"/>
        </w:rPr>
        <w:t xml:space="preserve">сентября </w:t>
      </w:r>
      <w:r w:rsidRPr="00404F89">
        <w:rPr>
          <w:rFonts w:ascii="Tahoma" w:eastAsia="Times New Roman" w:hAnsi="Tahoma" w:cs="Tahoma"/>
          <w:lang w:eastAsia="ru-RU"/>
        </w:rPr>
        <w:t>202</w:t>
      </w:r>
      <w:r w:rsidR="001F17FB">
        <w:rPr>
          <w:rFonts w:ascii="Tahoma" w:eastAsia="Times New Roman" w:hAnsi="Tahoma" w:cs="Tahoma"/>
          <w:lang w:eastAsia="ru-RU"/>
        </w:rPr>
        <w:t>3</w:t>
      </w:r>
      <w:r w:rsidRPr="00404F89">
        <w:rPr>
          <w:rFonts w:ascii="Tahoma" w:eastAsia="Times New Roman" w:hAnsi="Tahoma" w:cs="Tahoma"/>
          <w:lang w:eastAsia="ru-RU"/>
        </w:rPr>
        <w:t xml:space="preserve"> года.</w:t>
      </w: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lang w:eastAsia="ru-RU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szCs w:val="20"/>
          <w:lang w:val="x-none" w:eastAsia="x-none"/>
        </w:rPr>
      </w:pPr>
    </w:p>
    <w:p w:rsidR="00404F89" w:rsidRPr="00404F89" w:rsidRDefault="00B47780" w:rsidP="00404F89">
      <w:pPr>
        <w:spacing w:after="0" w:line="240" w:lineRule="auto"/>
        <w:ind w:firstLine="709"/>
        <w:jc w:val="both"/>
        <w:rPr>
          <w:rFonts w:ascii="Tahoma" w:eastAsia="Times New Roman" w:hAnsi="Tahoma" w:cs="Times New Roman"/>
          <w:lang w:eastAsia="x-none"/>
        </w:rPr>
      </w:pPr>
      <w:r>
        <w:rPr>
          <w:rFonts w:ascii="Tahoma" w:eastAsia="Times New Roman" w:hAnsi="Tahoma" w:cs="Times New Roman"/>
          <w:lang w:eastAsia="x-none"/>
        </w:rPr>
        <w:t xml:space="preserve">Территориальный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орган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Ф</w:t>
      </w:r>
      <w:r>
        <w:rPr>
          <w:rFonts w:ascii="Tahoma" w:eastAsia="Times New Roman" w:hAnsi="Tahoma" w:cs="Times New Roman"/>
          <w:lang w:eastAsia="x-none"/>
        </w:rPr>
        <w:t xml:space="preserve">едеральной 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службы государственной статистики по Псковской области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является собственником данного издания</w:t>
      </w:r>
      <w:r w:rsidR="00404F89" w:rsidRPr="00404F89">
        <w:rPr>
          <w:rFonts w:ascii="Tahoma" w:eastAsia="Times New Roman" w:hAnsi="Tahoma" w:cs="Times New Roman"/>
          <w:lang w:val="x-none" w:eastAsia="x-none"/>
        </w:rPr>
        <w:t>.</w:t>
      </w:r>
      <w:r w:rsidR="00404F89" w:rsidRPr="00404F89">
        <w:rPr>
          <w:rFonts w:ascii="Tahoma" w:eastAsia="Times New Roman" w:hAnsi="Tahoma" w:cs="Times New Roman"/>
          <w:lang w:eastAsia="x-none"/>
        </w:rPr>
        <w:t xml:space="preserve"> Тиражирование, коммерческое использование и публикации в СМИ без разрешения собственника запрещено.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val="x-none"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b/>
          <w:sz w:val="24"/>
          <w:lang w:eastAsia="ru-RU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>Условные обозначения: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 </w:t>
      </w:r>
      <w:r w:rsidRPr="00404F89">
        <w:rPr>
          <w:rFonts w:ascii="Tahoma" w:eastAsia="Times New Roman" w:hAnsi="Tahoma" w:cs="Tahoma"/>
          <w:b/>
          <w:lang w:val="x-none" w:eastAsia="x-none"/>
        </w:rPr>
        <w:t>−</w:t>
      </w:r>
      <w:r w:rsidRPr="00404F89">
        <w:rPr>
          <w:rFonts w:ascii="Tahoma" w:eastAsia="Times New Roman" w:hAnsi="Tahoma" w:cs="Times New Roman"/>
          <w:lang w:val="x-none" w:eastAsia="x-none"/>
        </w:rPr>
        <w:t xml:space="preserve">   явление отсутствует;</w:t>
      </w: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/>
          <w:lang w:val="x-none" w:eastAsia="x-none"/>
        </w:rPr>
        <w:t xml:space="preserve">          </w:t>
      </w:r>
      <w:r w:rsidR="00B47780">
        <w:rPr>
          <w:rFonts w:ascii="Tahoma" w:eastAsia="Times New Roman" w:hAnsi="Tahoma" w:cs="Times New Roman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lang w:val="x-none" w:eastAsia="x-none"/>
        </w:rPr>
        <w:t>0,0   значение показателя меньше единицы измерения</w:t>
      </w:r>
      <w:r w:rsidRPr="00404F89">
        <w:rPr>
          <w:rFonts w:ascii="Tahoma" w:eastAsia="Times New Roman" w:hAnsi="Tahoma" w:cs="Times New Roman"/>
          <w:lang w:eastAsia="x-none"/>
        </w:rPr>
        <w:t>;</w:t>
      </w:r>
    </w:p>
    <w:p w:rsidR="00404F89" w:rsidRPr="00404F89" w:rsidRDefault="00404F89" w:rsidP="00404F8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>знак (-) означает убыток;</w:t>
      </w:r>
    </w:p>
    <w:p w:rsidR="00B47780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color w:val="000000"/>
          <w:lang w:eastAsia="ru-RU"/>
        </w:rPr>
        <w:t xml:space="preserve">темпы рассчитаны </w:t>
      </w:r>
      <w:r w:rsidRPr="00404F89">
        <w:rPr>
          <w:rFonts w:ascii="Tahoma" w:eastAsia="Times New Roman" w:hAnsi="Tahoma" w:cs="Tahoma"/>
          <w:lang w:eastAsia="ru-RU"/>
        </w:rPr>
        <w:t>по сопоставимому кругу организаций; прочерк означает, что в одном или в обоих из сопоставляемых периодов</w:t>
      </w:r>
    </w:p>
    <w:p w:rsidR="00404F89" w:rsidRPr="00404F89" w:rsidRDefault="00404F89" w:rsidP="00B47780">
      <w:pPr>
        <w:spacing w:after="0" w:line="240" w:lineRule="auto"/>
        <w:ind w:firstLine="709"/>
        <w:rPr>
          <w:rFonts w:ascii="Tahoma" w:eastAsia="Times New Roman" w:hAnsi="Tahoma" w:cs="Tahoma"/>
          <w:lang w:eastAsia="ru-RU"/>
        </w:rPr>
      </w:pPr>
      <w:r w:rsidRPr="00404F89">
        <w:rPr>
          <w:rFonts w:ascii="Tahoma" w:eastAsia="Times New Roman" w:hAnsi="Tahoma" w:cs="Tahoma"/>
          <w:lang w:eastAsia="ru-RU"/>
        </w:rPr>
        <w:t>был получен отрицательный сальдированный финансовый результат.</w:t>
      </w:r>
    </w:p>
    <w:p w:rsidR="00404F89" w:rsidRPr="00404F89" w:rsidRDefault="00404F89" w:rsidP="00404F89">
      <w:pPr>
        <w:tabs>
          <w:tab w:val="right" w:leader="dot" w:pos="635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Cs w:val="20"/>
          <w:lang w:val="x-none" w:eastAsia="x-none"/>
        </w:rPr>
      </w:pPr>
      <w:r w:rsidRPr="00404F89">
        <w:rPr>
          <w:rFonts w:ascii="Tahoma" w:eastAsia="Times New Roman" w:hAnsi="Tahoma" w:cs="Tahoma"/>
          <w:szCs w:val="20"/>
          <w:lang w:val="x-none" w:eastAsia="x-none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404F89" w:rsidRPr="00404F89" w:rsidRDefault="00404F89" w:rsidP="00404F89">
      <w:pPr>
        <w:spacing w:after="0" w:line="240" w:lineRule="auto"/>
        <w:ind w:firstLine="709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404F89" w:rsidRPr="00404F89" w:rsidRDefault="00404F89" w:rsidP="00404F89">
      <w:pPr>
        <w:spacing w:after="0" w:line="240" w:lineRule="auto"/>
        <w:jc w:val="center"/>
        <w:rPr>
          <w:rFonts w:ascii="Tahoma" w:eastAsia="Times New Roman" w:hAnsi="Tahoma" w:cs="Times New Roman"/>
          <w:b/>
          <w:sz w:val="20"/>
          <w:szCs w:val="20"/>
          <w:lang w:eastAsia="x-none"/>
        </w:rPr>
      </w:pPr>
    </w:p>
    <w:p w:rsidR="00B43564" w:rsidRDefault="00B43564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880EB9" w:rsidRDefault="00880EB9" w:rsidP="00404F89">
      <w:pPr>
        <w:tabs>
          <w:tab w:val="right" w:leader="dot" w:pos="6350"/>
        </w:tabs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lang w:eastAsia="x-none"/>
        </w:rPr>
      </w:pPr>
    </w:p>
    <w:p w:rsidR="00404F89" w:rsidRPr="00404F89" w:rsidRDefault="00404F89" w:rsidP="00DC370F">
      <w:pPr>
        <w:spacing w:after="0" w:line="216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Отдельные финансовые показатели деятельности организаций по видам экономической деятельности</w:t>
      </w:r>
    </w:p>
    <w:p w:rsidR="00404F89" w:rsidRPr="00404F89" w:rsidRDefault="00404F89" w:rsidP="00404F89">
      <w:pPr>
        <w:tabs>
          <w:tab w:val="right" w:leader="dot" w:pos="6350"/>
        </w:tabs>
        <w:spacing w:after="0" w:line="223" w:lineRule="auto"/>
        <w:jc w:val="center"/>
        <w:rPr>
          <w:rFonts w:ascii="Tahoma" w:eastAsia="Times New Roman" w:hAnsi="Tahoma" w:cs="Tahoma"/>
          <w:sz w:val="12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1415"/>
        <w:gridCol w:w="1221"/>
        <w:gridCol w:w="1415"/>
        <w:gridCol w:w="1232"/>
        <w:gridCol w:w="1221"/>
        <w:gridCol w:w="1415"/>
        <w:gridCol w:w="1232"/>
        <w:gridCol w:w="1168"/>
        <w:gridCol w:w="1648"/>
        <w:gridCol w:w="1016"/>
      </w:tblGrid>
      <w:tr w:rsidR="00404F89" w:rsidRPr="00427BEC" w:rsidTr="009A7C6B">
        <w:trPr>
          <w:jc w:val="center"/>
        </w:trPr>
        <w:tc>
          <w:tcPr>
            <w:tcW w:w="14855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4F89" w:rsidRPr="00427BEC" w:rsidRDefault="00404F89" w:rsidP="00427BEC">
            <w:pPr>
              <w:spacing w:before="40"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427B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Прибыль, убыток (-) до налого-обложения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прибыль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Организации, получившие убыток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Прибыль,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убыток (-) до налогообложения за аналогичный период 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Темп роста прибыли    в %</w:t>
            </w:r>
          </w:p>
        </w:tc>
      </w:tr>
      <w:tr w:rsidR="00404F89" w:rsidRPr="00427BEC" w:rsidTr="00B43564">
        <w:trPr>
          <w:jc w:val="center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прибыль до налого-обложения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количество организаций, единиц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% к</w:t>
            </w: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общему количеству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убыток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427BEC" w:rsidRDefault="00404F89" w:rsidP="00427BEC">
            <w:pPr>
              <w:spacing w:before="4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96511" w:rsidRPr="00427BEC" w:rsidTr="00B43564">
        <w:trPr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11" w:rsidRPr="00427BEC" w:rsidRDefault="00396511" w:rsidP="00427BEC">
            <w:pPr>
              <w:spacing w:before="4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27B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-3863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52</w:t>
            </w:r>
            <w:r w:rsidR="007A76A0">
              <w:rPr>
                <w:rFonts w:ascii="Tahoma" w:hAnsi="Tahoma" w:cs="Tahoma"/>
                <w:sz w:val="18"/>
                <w:szCs w:val="18"/>
              </w:rPr>
              <w:t>,</w:t>
            </w:r>
            <w:r w:rsidRPr="003965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19413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47</w:t>
            </w:r>
            <w:r w:rsidR="007A76A0">
              <w:rPr>
                <w:rFonts w:ascii="Tahoma" w:hAnsi="Tahoma" w:cs="Tahoma"/>
                <w:sz w:val="18"/>
                <w:szCs w:val="18"/>
              </w:rPr>
              <w:t>,</w:t>
            </w:r>
            <w:r w:rsidRPr="0039651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23276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-15494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11" w:rsidRPr="00396511" w:rsidRDefault="00396511" w:rsidP="00396511">
            <w:pPr>
              <w:spacing w:before="40"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651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val="x-none" w:eastAsia="x-none"/>
        </w:rPr>
      </w:pP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Баланс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val="x-none"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val="x-none" w:eastAsia="x-none"/>
        </w:rPr>
        <w:t xml:space="preserve">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9"/>
        <w:gridCol w:w="2756"/>
        <w:gridCol w:w="2756"/>
        <w:gridCol w:w="2756"/>
        <w:gridCol w:w="2758"/>
      </w:tblGrid>
      <w:tr w:rsidR="00404F89" w:rsidRPr="00515FB1" w:rsidTr="008C6221">
        <w:trPr>
          <w:trHeight w:val="31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24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(на конец года, тысяч рублей)</w:t>
            </w:r>
          </w:p>
        </w:tc>
      </w:tr>
      <w:tr w:rsidR="00404F89" w:rsidRPr="00515FB1" w:rsidTr="00B47780">
        <w:trPr>
          <w:trHeight w:val="545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Валюта 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баланса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активы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Капитал и</w:t>
            </w:r>
            <w:r w:rsidR="00B47780"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резервы</w:t>
            </w:r>
          </w:p>
        </w:tc>
      </w:tr>
      <w:tr w:rsidR="00DD5E31" w:rsidRPr="00515FB1" w:rsidTr="008C6221">
        <w:trPr>
          <w:trHeight w:val="30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E31" w:rsidRPr="00515FB1" w:rsidRDefault="00DD5E31" w:rsidP="00515FB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1" w:rsidRPr="00DD5E31" w:rsidRDefault="00DD5E31" w:rsidP="00AE553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5E31">
              <w:rPr>
                <w:rFonts w:ascii="Tahoma" w:hAnsi="Tahoma" w:cs="Tahoma"/>
                <w:sz w:val="18"/>
                <w:szCs w:val="18"/>
              </w:rPr>
              <w:t>414548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1" w:rsidRPr="00DD5E31" w:rsidRDefault="00DD5E31" w:rsidP="00AE553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5E31">
              <w:rPr>
                <w:rFonts w:ascii="Tahoma" w:hAnsi="Tahoma" w:cs="Tahoma"/>
                <w:sz w:val="18"/>
                <w:szCs w:val="18"/>
              </w:rPr>
              <w:t>173741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1" w:rsidRPr="00DD5E31" w:rsidRDefault="00DD5E31" w:rsidP="00AE553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5E31">
              <w:rPr>
                <w:rFonts w:ascii="Tahoma" w:hAnsi="Tahoma" w:cs="Tahoma"/>
                <w:sz w:val="18"/>
                <w:szCs w:val="18"/>
              </w:rPr>
              <w:t>240807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E31" w:rsidRPr="00DD5E31" w:rsidRDefault="00DD5E31" w:rsidP="00AE5530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D5E31">
              <w:rPr>
                <w:rFonts w:ascii="Tahoma" w:hAnsi="Tahoma" w:cs="Tahoma"/>
                <w:sz w:val="18"/>
                <w:szCs w:val="18"/>
              </w:rPr>
              <w:t>54533</w:t>
            </w:r>
          </w:p>
        </w:tc>
      </w:tr>
    </w:tbl>
    <w:p w:rsidR="00671CEC" w:rsidRDefault="00671CEC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Внеоборотные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активы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lang w:eastAsia="x-none"/>
        </w:rPr>
        <w:br/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5669"/>
        <w:gridCol w:w="3374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 тысяч рублей)</w:t>
            </w:r>
          </w:p>
        </w:tc>
      </w:tr>
      <w:tr w:rsidR="00404F89" w:rsidRPr="00515FB1" w:rsidTr="00B47780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Внеоборотные активы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404F89" w:rsidRPr="00515FB1" w:rsidTr="00B47780">
        <w:trPr>
          <w:trHeight w:val="667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материальные внеоборотные активы (включая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основные средства, незавершенные капитальные вложения в основные средства)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нематериальные, финансовые и другие внеоборотные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</w:tr>
      <w:tr w:rsidR="006B66D2" w:rsidRPr="00515FB1" w:rsidTr="00B47780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66D2" w:rsidRPr="00515FB1" w:rsidRDefault="006B66D2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173741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145861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27880</w:t>
            </w:r>
          </w:p>
        </w:tc>
      </w:tr>
    </w:tbl>
    <w:p w:rsidR="00515FB1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bCs/>
          <w:lang w:eastAsia="x-none"/>
        </w:rPr>
      </w:pPr>
    </w:p>
    <w:p w:rsidR="00404F89" w:rsidRPr="00404F89" w:rsidRDefault="00515FB1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2"/>
          <w:lang w:eastAsia="x-none"/>
        </w:rPr>
      </w:pPr>
      <w:r>
        <w:rPr>
          <w:rFonts w:ascii="Tahoma" w:eastAsia="Times New Roman" w:hAnsi="Tahoma" w:cs="Tahoma"/>
          <w:b/>
          <w:bCs/>
          <w:lang w:eastAsia="x-none"/>
        </w:rPr>
        <w:t>О</w:t>
      </w:r>
      <w:r w:rsidR="00404F89" w:rsidRPr="00404F89">
        <w:rPr>
          <w:rFonts w:ascii="Tahoma" w:eastAsia="Times New Roman" w:hAnsi="Tahoma" w:cs="Tahoma"/>
          <w:b/>
          <w:bCs/>
          <w:lang w:val="x-none" w:eastAsia="x-none"/>
        </w:rPr>
        <w:t xml:space="preserve">боротные  активы  организаций 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2250"/>
        <w:gridCol w:w="1742"/>
        <w:gridCol w:w="2977"/>
        <w:gridCol w:w="4507"/>
      </w:tblGrid>
      <w:tr w:rsidR="00404F89" w:rsidRPr="00515FB1" w:rsidTr="00B47780">
        <w:trPr>
          <w:trHeight w:val="252"/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96FED">
            <w:pPr>
              <w:spacing w:before="60" w:after="60" w:line="204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B47780">
        <w:trPr>
          <w:trHeight w:val="218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3564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Оборотные активы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в том числе :</w:t>
            </w:r>
          </w:p>
        </w:tc>
      </w:tr>
      <w:tr w:rsidR="00404F89" w:rsidRPr="00515FB1" w:rsidTr="00B47780">
        <w:trPr>
          <w:trHeight w:val="300"/>
          <w:jc w:val="center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89" w:rsidRPr="00515FB1" w:rsidRDefault="00404F89" w:rsidP="00596FED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денежные средства и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денежные эквиваленты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B47780">
            <w:pPr>
              <w:spacing w:before="40" w:after="40" w:line="204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финансовые и другие оборотные активы (включая дебиторскую задолженность)</w:t>
            </w:r>
          </w:p>
        </w:tc>
      </w:tr>
      <w:tr w:rsidR="006B66D2" w:rsidRPr="00515FB1" w:rsidTr="00B47780">
        <w:trPr>
          <w:trHeight w:val="30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6D2" w:rsidRPr="00515FB1" w:rsidRDefault="006B66D2" w:rsidP="00596FED">
            <w:pPr>
              <w:spacing w:before="40" w:after="0" w:line="204" w:lineRule="auto"/>
              <w:contextualSpacing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Бежаницкий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240807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121181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11641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6D2" w:rsidRPr="006B66D2" w:rsidRDefault="006B66D2" w:rsidP="006B66D2">
            <w:pPr>
              <w:spacing w:before="40" w:after="0" w:line="240" w:lineRule="auto"/>
              <w:ind w:right="56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B66D2">
              <w:rPr>
                <w:rFonts w:ascii="Tahoma" w:hAnsi="Tahoma" w:cs="Tahoma"/>
                <w:sz w:val="18"/>
                <w:szCs w:val="18"/>
              </w:rPr>
              <w:t>107985</w:t>
            </w:r>
          </w:p>
        </w:tc>
      </w:tr>
    </w:tbl>
    <w:p w:rsidR="00596FED" w:rsidRDefault="00596FED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Оборачиваемость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оборотных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3118"/>
        <w:gridCol w:w="4649"/>
      </w:tblGrid>
      <w:tr w:rsidR="00404F89" w:rsidRPr="00515FB1" w:rsidTr="00B47780">
        <w:trPr>
          <w:jc w:val="center"/>
        </w:trPr>
        <w:tc>
          <w:tcPr>
            <w:tcW w:w="14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(в днях)</w:t>
            </w:r>
          </w:p>
        </w:tc>
      </w:tr>
      <w:tr w:rsidR="00404F89" w:rsidRPr="00515FB1" w:rsidTr="00492BF4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Оборотные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активы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Запасы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кредиторская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задолженность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Финансовые и другие активы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(дебиторская, НДС по приобретенным ценностям, краткосрочные финансовые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вложения)</w:t>
            </w:r>
          </w:p>
        </w:tc>
      </w:tr>
      <w:tr w:rsidR="00404F89" w:rsidRPr="00515FB1" w:rsidTr="00B47780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длительность 1 оборота</w:t>
            </w:r>
          </w:p>
        </w:tc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средний срок погашения</w:t>
            </w:r>
          </w:p>
        </w:tc>
      </w:tr>
      <w:tr w:rsidR="004728BB" w:rsidRPr="00515FB1" w:rsidTr="0068103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8BB" w:rsidRPr="00515FB1" w:rsidRDefault="004728BB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BB" w:rsidRDefault="004728BB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BB" w:rsidRDefault="004728BB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BB" w:rsidRDefault="004728BB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BB" w:rsidRDefault="004728BB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671CEC" w:rsidRDefault="00671CEC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szCs w:val="20"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Cs w:val="20"/>
          <w:lang w:eastAsia="x-none"/>
        </w:rPr>
      </w:pPr>
      <w:r w:rsidRPr="00404F89">
        <w:rPr>
          <w:rFonts w:ascii="Tahoma" w:eastAsia="Times New Roman" w:hAnsi="Tahoma" w:cs="Tahoma"/>
          <w:b/>
          <w:szCs w:val="20"/>
          <w:lang w:eastAsia="x-none"/>
        </w:rPr>
        <w:t>Долгосрочные обязательства 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0"/>
        <w:gridCol w:w="5910"/>
        <w:gridCol w:w="5625"/>
      </w:tblGrid>
      <w:tr w:rsidR="00404F89" w:rsidRPr="00515FB1" w:rsidTr="005D187E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5D187E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района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 кредиты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Другие долгосрочные обязательства</w:t>
            </w:r>
          </w:p>
        </w:tc>
      </w:tr>
      <w:tr w:rsidR="00555398" w:rsidRPr="00515FB1" w:rsidTr="00515FB1">
        <w:trPr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398" w:rsidRPr="00515FB1" w:rsidRDefault="00555398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5398" w:rsidRDefault="00555398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238552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5398" w:rsidRDefault="00555398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7681</w:t>
            </w:r>
          </w:p>
        </w:tc>
      </w:tr>
    </w:tbl>
    <w:p w:rsidR="005D187E" w:rsidRDefault="005D187E" w:rsidP="00DC370F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</w:p>
    <w:p w:rsidR="00DC370F" w:rsidRDefault="00DC370F" w:rsidP="00DC370F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ahoma"/>
          <w:b/>
          <w:lang w:eastAsia="x-none"/>
        </w:rPr>
      </w:pP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Краткосрочные  обязательства  организаций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ahoma"/>
          <w:sz w:val="16"/>
          <w:szCs w:val="20"/>
          <w:lang w:eastAsia="x-none"/>
        </w:rPr>
      </w:pP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3"/>
        <w:gridCol w:w="2812"/>
        <w:gridCol w:w="4166"/>
        <w:gridCol w:w="4274"/>
      </w:tblGrid>
      <w:tr w:rsidR="00404F89" w:rsidRPr="00515FB1" w:rsidTr="003A4675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(на конец года, 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3A4675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Займы 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кредиты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 xml:space="preserve"> задолженность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1F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r w:rsidR="000422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краткосрочные </w:t>
            </w:r>
          </w:p>
          <w:p w:rsidR="00404F89" w:rsidRPr="00515FB1" w:rsidRDefault="00404F89" w:rsidP="0004221F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A05440" w:rsidRPr="00515FB1" w:rsidTr="003A4675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40" w:rsidRPr="00515FB1" w:rsidRDefault="00A05440" w:rsidP="00515FB1">
            <w:pPr>
              <w:spacing w:before="6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440" w:rsidRDefault="00A05440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39077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440" w:rsidRDefault="00A05440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74490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5440" w:rsidRDefault="00A05440" w:rsidP="00DC370F">
            <w:pPr>
              <w:spacing w:before="40"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</w:tbl>
    <w:p w:rsidR="003A4675" w:rsidRDefault="003A4675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DC370F" w:rsidRDefault="00DC370F" w:rsidP="00DC370F">
      <w:pPr>
        <w:spacing w:after="60" w:line="216" w:lineRule="auto"/>
        <w:rPr>
          <w:rFonts w:ascii="Tahoma" w:eastAsia="Times New Roman" w:hAnsi="Tahoma" w:cs="Tahoma"/>
          <w:b/>
          <w:color w:val="000000"/>
          <w:szCs w:val="20"/>
          <w:lang w:eastAsia="ru-RU"/>
        </w:rPr>
      </w:pPr>
    </w:p>
    <w:p w:rsidR="00404F89" w:rsidRPr="00DC370F" w:rsidRDefault="00404F89" w:rsidP="00DC370F">
      <w:pPr>
        <w:spacing w:after="60" w:line="216" w:lineRule="auto"/>
        <w:jc w:val="center"/>
        <w:rPr>
          <w:rFonts w:ascii="Tahoma" w:eastAsia="Times New Roman" w:hAnsi="Tahoma" w:cs="Tahoma"/>
          <w:b/>
          <w:color w:val="000000"/>
          <w:szCs w:val="20"/>
          <w:lang w:eastAsia="ru-RU"/>
        </w:rPr>
      </w:pPr>
      <w:r w:rsidRPr="00404F89">
        <w:rPr>
          <w:rFonts w:ascii="Tahoma" w:eastAsia="Times New Roman" w:hAnsi="Tahoma" w:cs="Tahoma"/>
          <w:b/>
          <w:color w:val="000000"/>
          <w:szCs w:val="20"/>
          <w:lang w:eastAsia="ru-RU"/>
        </w:rPr>
        <w:t>Форм</w:t>
      </w:r>
      <w:r w:rsidR="00DC370F">
        <w:rPr>
          <w:rFonts w:ascii="Tahoma" w:eastAsia="Times New Roman" w:hAnsi="Tahoma" w:cs="Tahoma"/>
          <w:b/>
          <w:color w:val="000000"/>
          <w:szCs w:val="20"/>
          <w:lang w:eastAsia="ru-RU"/>
        </w:rPr>
        <w:t>ирование финансовых результатов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1612"/>
        <w:gridCol w:w="1760"/>
        <w:gridCol w:w="1613"/>
        <w:gridCol w:w="1356"/>
        <w:gridCol w:w="1496"/>
        <w:gridCol w:w="1676"/>
        <w:gridCol w:w="1496"/>
      </w:tblGrid>
      <w:tr w:rsidR="00404F89" w:rsidRPr="00515FB1" w:rsidTr="00C6787E">
        <w:trPr>
          <w:jc w:val="center"/>
        </w:trPr>
        <w:tc>
          <w:tcPr>
            <w:tcW w:w="14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515FB1" w:rsidRDefault="00404F89" w:rsidP="00515FB1">
            <w:pPr>
              <w:spacing w:after="60"/>
              <w:contextualSpacing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(на конец года,</w:t>
            </w:r>
            <w:r w:rsidRPr="00515FB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15FB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тысяч рублей)</w:t>
            </w:r>
          </w:p>
        </w:tc>
      </w:tr>
      <w:tr w:rsidR="00404F89" w:rsidRPr="00515FB1" w:rsidTr="00C6787E">
        <w:trPr>
          <w:jc w:val="center"/>
        </w:trPr>
        <w:tc>
          <w:tcPr>
            <w:tcW w:w="3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Наименование разреза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Доходы и расходы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по обычным видам деятельности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Сальдо прочих доходов и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Прибыль (убыток) до налого-обложения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Налог на прибыль (доходы) с учетом прочих платежей (поступлений)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515FB1" w:rsidRDefault="00404F89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Чистая </w:t>
            </w: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br/>
              <w:t>прибыль (убыток ) отчетного периода</w:t>
            </w: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1760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  <w:p w:rsidR="00C6787E" w:rsidRPr="00515FB1" w:rsidRDefault="00C6787E" w:rsidP="00515FB1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C6787E" w:rsidRPr="00515FB1" w:rsidTr="00C6787E">
        <w:trPr>
          <w:trHeight w:val="290"/>
          <w:jc w:val="center"/>
        </w:trPr>
        <w:tc>
          <w:tcPr>
            <w:tcW w:w="3846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vAlign w:val="bottom"/>
            <w:hideMark/>
          </w:tcPr>
          <w:p w:rsidR="00C6787E" w:rsidRPr="00515FB1" w:rsidRDefault="00C6787E" w:rsidP="00515FB1">
            <w:pPr>
              <w:spacing w:after="0"/>
              <w:contextualSpacing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EA5428" w:rsidRPr="00515FB1" w:rsidTr="00C6787E">
        <w:trPr>
          <w:jc w:val="center"/>
        </w:trPr>
        <w:tc>
          <w:tcPr>
            <w:tcW w:w="3846" w:type="dxa"/>
            <w:shd w:val="clear" w:color="auto" w:fill="auto"/>
            <w:vAlign w:val="bottom"/>
          </w:tcPr>
          <w:p w:rsidR="00EA5428" w:rsidRPr="00515FB1" w:rsidRDefault="00EA5428" w:rsidP="00515FB1">
            <w:pPr>
              <w:spacing w:before="60" w:after="0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217241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220077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-3863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EA5428" w:rsidRDefault="00EA5428" w:rsidP="00DC370F">
            <w:pPr>
              <w:spacing w:before="20" w:after="0" w:line="240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-4571</w:t>
            </w:r>
          </w:p>
        </w:tc>
      </w:tr>
    </w:tbl>
    <w:p w:rsidR="00DC370F" w:rsidRDefault="00DC370F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Финансовая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устойчивость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платежеспособность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организаций</w:t>
      </w:r>
    </w:p>
    <w:tbl>
      <w:tblPr>
        <w:tblW w:w="148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7"/>
        <w:gridCol w:w="4227"/>
        <w:gridCol w:w="3769"/>
        <w:gridCol w:w="3442"/>
      </w:tblGrid>
      <w:tr w:rsidR="00404F89" w:rsidRPr="00515FB1" w:rsidTr="00B47780">
        <w:trPr>
          <w:jc w:val="center"/>
        </w:trPr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(в процентах )</w:t>
            </w:r>
          </w:p>
        </w:tc>
      </w:tr>
      <w:tr w:rsidR="00404F89" w:rsidRPr="00515FB1" w:rsidTr="00492BF4">
        <w:trPr>
          <w:trHeight w:val="1392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автономии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(доля собственных средств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в валюте баланса)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ограничение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больше либо равно 50%)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обеспеченности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собственными оборотными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средствами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F89" w:rsidRPr="00515FB1" w:rsidRDefault="00404F89" w:rsidP="00515FB1">
            <w:pPr>
              <w:spacing w:before="60" w:after="60" w:line="300" w:lineRule="auto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Коэффициент текущей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ликвидности (покрытия)</w:t>
            </w:r>
            <w:r w:rsidRPr="00515F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t xml:space="preserve">(нормальное </w:t>
            </w:r>
            <w:r w:rsidRPr="00515FB1">
              <w:rPr>
                <w:rFonts w:ascii="Tahoma" w:eastAsia="Times New Roman" w:hAnsi="Tahoma" w:cs="Tahoma"/>
                <w:bCs/>
                <w:i/>
                <w:sz w:val="18"/>
                <w:szCs w:val="18"/>
                <w:lang w:eastAsia="ru-RU"/>
              </w:rPr>
              <w:br/>
              <w:t>ограничение 200%)</w:t>
            </w:r>
          </w:p>
        </w:tc>
      </w:tr>
      <w:tr w:rsidR="00FC3DF0" w:rsidRPr="00515FB1" w:rsidTr="00B47780">
        <w:trPr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DF0" w:rsidRPr="00515FB1" w:rsidRDefault="00FC3DF0" w:rsidP="00515FB1">
            <w:pPr>
              <w:spacing w:before="40" w:after="0" w:line="300" w:lineRule="auto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15F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3DF0" w:rsidRDefault="00FC3DF0" w:rsidP="00DC370F">
            <w:pPr>
              <w:spacing w:before="40" w:after="0" w:line="240" w:lineRule="auto"/>
              <w:ind w:right="17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3DF0" w:rsidRDefault="00FC3DF0" w:rsidP="00DC370F">
            <w:pPr>
              <w:spacing w:before="40" w:after="0" w:line="240" w:lineRule="auto"/>
              <w:ind w:right="17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3DF0" w:rsidRDefault="00FC3DF0" w:rsidP="00DC370F">
            <w:pPr>
              <w:spacing w:before="40" w:after="0" w:line="240" w:lineRule="auto"/>
              <w:ind w:right="17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7A76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671CEC" w:rsidRDefault="00671CEC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DC370F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 w:hint="eastAsia"/>
          <w:b/>
          <w:lang w:eastAsia="x-none"/>
        </w:rPr>
        <w:t>Рентабельность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проданных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товаров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продукции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(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работ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,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услуг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)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и</w:t>
      </w:r>
      <w:r w:rsidRPr="00404F89">
        <w:rPr>
          <w:rFonts w:ascii="Tahoma" w:eastAsia="Times New Roman" w:hAnsi="Tahoma" w:cs="Times New Roman"/>
          <w:b/>
          <w:lang w:eastAsia="x-none"/>
        </w:rPr>
        <w:t xml:space="preserve"> </w:t>
      </w:r>
      <w:r w:rsidRPr="00404F89">
        <w:rPr>
          <w:rFonts w:ascii="Tahoma" w:eastAsia="Times New Roman" w:hAnsi="Tahoma" w:cs="Times New Roman" w:hint="eastAsia"/>
          <w:b/>
          <w:lang w:eastAsia="x-none"/>
        </w:rPr>
        <w:t>активов</w:t>
      </w: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743"/>
        <w:gridCol w:w="5001"/>
      </w:tblGrid>
      <w:tr w:rsidR="00404F89" w:rsidRPr="00DA07FF" w:rsidTr="00B47780">
        <w:trPr>
          <w:jc w:val="center"/>
        </w:trPr>
        <w:tc>
          <w:tcPr>
            <w:tcW w:w="1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F89" w:rsidRPr="00DA07FF" w:rsidRDefault="00404F89" w:rsidP="00DA07FF">
            <w:pPr>
              <w:spacing w:before="60" w:after="60"/>
              <w:contextualSpacing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(в процентах)</w:t>
            </w:r>
          </w:p>
        </w:tc>
      </w:tr>
      <w:tr w:rsidR="00404F89" w:rsidRPr="00DA07FF" w:rsidTr="00B47780">
        <w:trPr>
          <w:trHeight w:val="301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реализованной продукции</w:t>
            </w:r>
          </w:p>
        </w:tc>
        <w:tc>
          <w:tcPr>
            <w:tcW w:w="50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04F89" w:rsidRPr="00DA07FF" w:rsidRDefault="00404F89" w:rsidP="00DA07FF">
            <w:pPr>
              <w:spacing w:before="60" w:after="6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Рентабельность активов</w:t>
            </w:r>
          </w:p>
        </w:tc>
      </w:tr>
      <w:tr w:rsidR="00404F89" w:rsidRPr="00DA07FF" w:rsidTr="00B47780">
        <w:trPr>
          <w:trHeight w:val="250"/>
          <w:jc w:val="center"/>
        </w:trPr>
        <w:tc>
          <w:tcPr>
            <w:tcW w:w="411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3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1" w:type="dxa"/>
            <w:vMerge/>
            <w:vAlign w:val="center"/>
            <w:hideMark/>
          </w:tcPr>
          <w:p w:rsidR="00404F89" w:rsidRPr="00DA07FF" w:rsidRDefault="00404F89" w:rsidP="00DA07FF">
            <w:pPr>
              <w:spacing w:after="0"/>
              <w:contextualSpacing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76A0" w:rsidRPr="00DA07FF" w:rsidTr="00B47780">
        <w:trPr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7A76A0" w:rsidRPr="00DA07FF" w:rsidRDefault="007A76A0" w:rsidP="00DC370F">
            <w:pPr>
              <w:spacing w:before="40" w:after="0" w:line="240" w:lineRule="auto"/>
              <w:ind w:right="567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07F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Бежаницкий</w:t>
            </w:r>
          </w:p>
        </w:tc>
        <w:tc>
          <w:tcPr>
            <w:tcW w:w="5743" w:type="dxa"/>
            <w:shd w:val="clear" w:color="auto" w:fill="auto"/>
            <w:noWrap/>
            <w:vAlign w:val="bottom"/>
          </w:tcPr>
          <w:p w:rsidR="007A76A0" w:rsidRDefault="007A76A0" w:rsidP="00BF65D6">
            <w:pPr>
              <w:spacing w:before="20" w:after="0" w:line="240" w:lineRule="auto"/>
              <w:ind w:right="17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</w:t>
            </w:r>
          </w:p>
        </w:tc>
        <w:tc>
          <w:tcPr>
            <w:tcW w:w="5001" w:type="dxa"/>
            <w:shd w:val="clear" w:color="auto" w:fill="auto"/>
            <w:noWrap/>
            <w:vAlign w:val="bottom"/>
          </w:tcPr>
          <w:p w:rsidR="007A76A0" w:rsidRDefault="007A76A0" w:rsidP="00BF65D6">
            <w:pPr>
              <w:spacing w:before="20" w:after="0" w:line="240" w:lineRule="auto"/>
              <w:ind w:right="17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</w:tr>
    </w:tbl>
    <w:p w:rsidR="00404F89" w:rsidRPr="00DC370F" w:rsidRDefault="00404F89" w:rsidP="00535196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bookmarkStart w:id="0" w:name="_GoBack"/>
      <w:bookmarkEnd w:id="0"/>
    </w:p>
    <w:p w:rsidR="00BF65D6" w:rsidRDefault="00BF65D6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</w:p>
    <w:p w:rsidR="00BF65D6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>Заместитель руководителя</w:t>
      </w:r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404F89">
        <w:rPr>
          <w:rFonts w:ascii="Tahoma" w:eastAsia="Times New Roman" w:hAnsi="Tahoma" w:cs="Tahoma"/>
          <w:b/>
          <w:lang w:eastAsia="x-none"/>
        </w:rPr>
        <w:t xml:space="preserve">                                                                                                                                        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    </w:t>
      </w:r>
      <w:r w:rsidR="00CA07C5">
        <w:rPr>
          <w:rFonts w:ascii="Tahoma" w:eastAsia="Times New Roman" w:hAnsi="Tahoma" w:cs="Tahoma"/>
          <w:b/>
          <w:lang w:eastAsia="x-none"/>
        </w:rPr>
        <w:t xml:space="preserve">    </w:t>
      </w:r>
      <w:r w:rsidR="00DA07FF">
        <w:rPr>
          <w:rFonts w:ascii="Tahoma" w:eastAsia="Times New Roman" w:hAnsi="Tahoma" w:cs="Tahoma"/>
          <w:b/>
          <w:lang w:eastAsia="x-none"/>
        </w:rPr>
        <w:t xml:space="preserve">  </w:t>
      </w:r>
      <w:r w:rsidRPr="00404F89">
        <w:rPr>
          <w:rFonts w:ascii="Tahoma" w:eastAsia="Times New Roman" w:hAnsi="Tahoma" w:cs="Tahoma"/>
          <w:b/>
          <w:lang w:eastAsia="x-none"/>
        </w:rPr>
        <w:t xml:space="preserve">       </w:t>
      </w:r>
      <w:r w:rsidR="00BF65D6">
        <w:rPr>
          <w:rFonts w:ascii="Tahoma" w:eastAsia="Times New Roman" w:hAnsi="Tahoma" w:cs="Tahoma"/>
          <w:b/>
          <w:lang w:eastAsia="x-none"/>
        </w:rPr>
        <w:t xml:space="preserve">                                               </w:t>
      </w:r>
      <w:r w:rsidRPr="00404F89">
        <w:rPr>
          <w:rFonts w:ascii="Tahoma" w:eastAsia="Times New Roman" w:hAnsi="Tahoma" w:cs="Tahoma"/>
          <w:b/>
          <w:lang w:eastAsia="x-none"/>
        </w:rPr>
        <w:t xml:space="preserve"> С.Н. Синюк</w:t>
      </w:r>
    </w:p>
    <w:p w:rsidR="00404F89" w:rsidRPr="00404F89" w:rsidRDefault="00404F89" w:rsidP="00BF65D6">
      <w:pPr>
        <w:tabs>
          <w:tab w:val="right" w:leader="dot" w:pos="6350"/>
        </w:tabs>
        <w:spacing w:after="0" w:line="240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Е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лена Николаевна </w:t>
      </w:r>
      <w:r w:rsidR="00B90F93">
        <w:rPr>
          <w:rFonts w:ascii="Tahoma" w:eastAsia="Times New Roman" w:hAnsi="Tahoma" w:cs="Times New Roman"/>
          <w:sz w:val="16"/>
          <w:szCs w:val="20"/>
          <w:lang w:eastAsia="x-none"/>
        </w:rPr>
        <w:t>Тарасова</w:t>
      </w:r>
      <w:r w:rsidR="00CA07C5">
        <w:rPr>
          <w:rFonts w:ascii="Tahoma" w:eastAsia="Times New Roman" w:hAnsi="Tahoma" w:cs="Times New Roman"/>
          <w:sz w:val="16"/>
          <w:szCs w:val="20"/>
          <w:lang w:eastAsia="x-none"/>
        </w:rPr>
        <w:t xml:space="preserve">  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(8</w:t>
      </w:r>
      <w:r w:rsidR="00D3477C">
        <w:rPr>
          <w:rFonts w:ascii="Tahoma" w:eastAsia="Times New Roman" w:hAnsi="Tahoma" w:cs="Times New Roman"/>
          <w:sz w:val="16"/>
          <w:szCs w:val="20"/>
          <w:lang w:eastAsia="x-none"/>
        </w:rPr>
        <w:t>1</w:t>
      </w:r>
      <w:r w:rsidR="008D6B2A">
        <w:rPr>
          <w:rFonts w:ascii="Tahoma" w:eastAsia="Times New Roman" w:hAnsi="Tahoma" w:cs="Times New Roman"/>
          <w:sz w:val="16"/>
          <w:szCs w:val="20"/>
          <w:lang w:eastAsia="x-none"/>
        </w:rPr>
        <w:t>12)</w:t>
      </w:r>
      <w:r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790979</w:t>
      </w:r>
    </w:p>
    <w:p w:rsidR="00404F89" w:rsidRPr="00404F89" w:rsidRDefault="00535196" w:rsidP="00404F89">
      <w:pPr>
        <w:tabs>
          <w:tab w:val="right" w:leader="dot" w:pos="6350"/>
        </w:tabs>
        <w:spacing w:before="40" w:after="0" w:line="223" w:lineRule="auto"/>
        <w:rPr>
          <w:rFonts w:ascii="Tahoma" w:eastAsia="Times New Roman" w:hAnsi="Tahoma" w:cs="Times New Roman"/>
          <w:sz w:val="16"/>
          <w:szCs w:val="20"/>
          <w:lang w:eastAsia="x-none"/>
        </w:rPr>
      </w:pPr>
      <w:r w:rsidRPr="00DC370F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Отдел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информационно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>-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статистических</w:t>
      </w:r>
      <w:r w:rsidR="00404F89" w:rsidRPr="00404F89">
        <w:rPr>
          <w:rFonts w:ascii="Tahoma" w:eastAsia="Times New Roman" w:hAnsi="Tahoma" w:cs="Times New Roman"/>
          <w:sz w:val="16"/>
          <w:szCs w:val="20"/>
          <w:lang w:eastAsia="x-none"/>
        </w:rPr>
        <w:t xml:space="preserve"> </w:t>
      </w:r>
      <w:r w:rsidR="00404F89" w:rsidRPr="00404F89">
        <w:rPr>
          <w:rFonts w:ascii="Tahoma" w:eastAsia="Times New Roman" w:hAnsi="Tahoma" w:cs="Times New Roman" w:hint="eastAsia"/>
          <w:sz w:val="16"/>
          <w:szCs w:val="20"/>
          <w:lang w:eastAsia="x-none"/>
        </w:rPr>
        <w:t>услуг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  <w:r w:rsidRPr="00404F89">
        <w:rPr>
          <w:rFonts w:ascii="Tahoma" w:eastAsia="Times New Roman" w:hAnsi="Tahoma" w:cs="Times New Roman"/>
          <w:b/>
          <w:lang w:eastAsia="x-none"/>
        </w:rPr>
        <w:t>Методологические пояснения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eastAsia="x-none"/>
        </w:rPr>
      </w:pP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Статистика финансов организаций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содержит показатели, отражающие финансовое положение организаций. Сбор данных осуществляется на основе форм государственной статистической и бухгалтерской отчетности.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Сальдированный финансовый результат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(прибыль (+) убыток (-))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конечный финансовый результат, выявленный на основании бухгалтерского учета всех хозяйственных операций организаций. Представляет собой сумму сальдированного финансового результата  (прибыль (+)  убыток (-))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от продажи товаров, продукции (работ, услуг), основных средств, иного имущества организаций и прочих доходов, уменьшенных на сумму прочих расходов.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 организаций характеризует эффективность их деятельности.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Рентабельность проданных товаров, продукции (работ, услуг)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 xml:space="preserve">Рентабельность активов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- соотношение сальдированного финансового результата (прибыль минус убыток) и стоимости активов организаций. В том случае, если сальдированный финансовый результат (прибыль минус убыток) отрицательный - имеет место убыточность.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активы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- это авансируемая в денежной сумме стоимость, принимающая в процессе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ее завершения.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оборотные производственные 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как предметы труда (сырье, основные материалы, топливо, вспомогательные материалы, тара, запасные части) так и средства труда (малоценные и быстроизнашивающиеся предметы). Кроме того, в оборотные фонды включаются незавершенное производство,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lastRenderedPageBreak/>
        <w:t xml:space="preserve">полуфабрикаты собственного изготовления и расходы будущих периодов. В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фонды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обращения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входят готовая продукция и товары отгруженные, средства в расчетах.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bCs/>
          <w:sz w:val="20"/>
          <w:szCs w:val="20"/>
          <w:lang w:val="x-none" w:eastAsia="x-none"/>
        </w:rPr>
        <w:t>Оборачиваемость оборотных активов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рассчитывается как соотношение средней стоимости оборотных активов и затрат на производство реализованной продукции, умноженной на число дней в периоде.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Финансовая устойчивость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характеризуется состоянием финансовых ресурсов, обеспечивающих бесперебойный расширенный процесс производства и продажи продукции на основе роста прибыли.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Основными показателями финансовой устойчивости организаций являются следующие коэффициенты: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автономии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, характеризующий долю собственных средств в общей величине источников средств организаций и определяющий степень независимости от кредиторов;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обеспеченности собственными оборотными средствами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 который рассчитывается как отношение собственных оборотных средств к фактической стоимости всех оборотных средств, находящихся в наличии у организаций.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Платежеспособность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характеризует возможности организаций своевременно расплачиваться по своим обязательствам.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Одним из показателей платежеспособности организаций является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коэффициент текущей</w:t>
      </w:r>
      <w:r w:rsidRPr="00404F89">
        <w:rPr>
          <w:rFonts w:ascii="Tahoma" w:eastAsia="Times New Roman" w:hAnsi="Tahoma" w:cs="Times New Roman"/>
          <w:b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ликвидности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рассчитываемый как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отношение фактической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стоимости находящихся в наличии у организаций оборотных средств к наиболее срочным обязательствам организации в виде краткосрочных кредитов и займов, кредиторской задолженности.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Финансовые вложения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долгосрочные и краткосрочные инвестиции организаций в ценные бумаги других организаций, процентные облигации государственных и местных займов, в уставные фонды других организаций, созданных на территории страны, капитал за рубежом, а также предоставленные другим организациям займы.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Суммарная задолженность по обязательствам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организаций включает кредиторскую задолженность, задолженность по кредитам банков и займам.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Кредиторская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поставщиками и подрядчиками за поступившие материальные ценности, выполненные работы, оказанные услуги, в том числе задолженность, обеспеченная векселями выданными; задолженность по расчетам с дочерними и зависимыми обществами по всем видам операций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с рабочими и служащими по оплате труда, представляющая собой начисленные, но не выплаченные суммы оплаты труда</w:t>
      </w:r>
      <w:r w:rsidR="00CA07C5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 отнесенные на финансовые результаты организации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, непогашенные суммы заемных средств, подлежащие погашению в соответствии с договором.  </w:t>
      </w:r>
    </w:p>
    <w:p w:rsidR="00404F89" w:rsidRPr="00404F89" w:rsidRDefault="00404F89" w:rsidP="00404F89">
      <w:pPr>
        <w:spacing w:before="60" w:after="0" w:line="240" w:lineRule="auto"/>
        <w:ind w:firstLine="567"/>
        <w:jc w:val="both"/>
        <w:rPr>
          <w:rFonts w:ascii="Tahoma" w:eastAsia="Times New Roman" w:hAnsi="Tahoma" w:cs="Times New Roman"/>
          <w:sz w:val="20"/>
          <w:szCs w:val="20"/>
          <w:lang w:val="x-none" w:eastAsia="x-none"/>
        </w:rPr>
      </w:pPr>
      <w:r w:rsidRPr="00404F89">
        <w:rPr>
          <w:rFonts w:ascii="Tahoma" w:eastAsia="Times New Roman" w:hAnsi="Tahoma" w:cs="Times New Roman"/>
          <w:b/>
          <w:sz w:val="20"/>
          <w:szCs w:val="20"/>
          <w:lang w:val="x-none" w:eastAsia="x-none"/>
        </w:rPr>
        <w:t>Дебиторская задолженность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- задолженность по расчетам с покупателя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>-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ми и заказчиками за товары, работы, услуги, в том числе задолженность, обеспеченная векселями полученными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 расчетам с дочерними и зависимыми обществами; сумма  уплаченных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включающую в себя задолженность финансовых и налоговых органов (в том числе по переплате по налогам, сборам и прочим платежам в бюджет)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</w:t>
      </w:r>
      <w:r w:rsidR="00B90F93">
        <w:rPr>
          <w:rFonts w:ascii="Tahoma" w:eastAsia="Times New Roman" w:hAnsi="Tahoma" w:cs="Times New Roman"/>
          <w:sz w:val="20"/>
          <w:szCs w:val="20"/>
          <w:lang w:eastAsia="x-none"/>
        </w:rPr>
        <w:t>,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 xml:space="preserve"> задолженность подотчетных лиц; поставщиков по недостачам товарно-материальных ценностей, обнаруженным при приемке; задолженность по государственным заказам,  федеральным программам за</w:t>
      </w:r>
      <w:r w:rsidRPr="00404F89">
        <w:rPr>
          <w:rFonts w:ascii="Tahoma" w:eastAsia="Times New Roman" w:hAnsi="Tahoma" w:cs="Times New Roman"/>
          <w:sz w:val="20"/>
          <w:szCs w:val="20"/>
          <w:lang w:eastAsia="x-none"/>
        </w:rPr>
        <w:t xml:space="preserve"> </w:t>
      </w:r>
      <w:r w:rsidRPr="00404F89">
        <w:rPr>
          <w:rFonts w:ascii="Tahoma" w:eastAsia="Times New Roman" w:hAnsi="Tahoma" w:cs="Times New Roman"/>
          <w:sz w:val="20"/>
          <w:szCs w:val="20"/>
          <w:lang w:val="x-none" w:eastAsia="x-none"/>
        </w:rPr>
        <w:t>поставленные товары, работы, услуги для государственных нужд и по, а также штрафы, пени, неустойки, признанные должником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об их взыскании, отнесенные на финансовые результаты организации.</w:t>
      </w:r>
    </w:p>
    <w:p w:rsidR="00404F89" w:rsidRPr="00404F89" w:rsidRDefault="00404F89" w:rsidP="00404F89">
      <w:pPr>
        <w:tabs>
          <w:tab w:val="right" w:leader="dot" w:pos="6350"/>
        </w:tabs>
        <w:spacing w:before="40" w:after="0" w:line="223" w:lineRule="auto"/>
        <w:jc w:val="center"/>
        <w:rPr>
          <w:rFonts w:ascii="Tahoma" w:eastAsia="Times New Roman" w:hAnsi="Tahoma" w:cs="Times New Roman"/>
          <w:b/>
          <w:lang w:val="x-none" w:eastAsia="x-none"/>
        </w:rPr>
      </w:pPr>
    </w:p>
    <w:p w:rsidR="00005E35" w:rsidRPr="00404F89" w:rsidRDefault="00005E35">
      <w:pPr>
        <w:rPr>
          <w:lang w:val="x-none"/>
        </w:rPr>
      </w:pPr>
    </w:p>
    <w:sectPr w:rsidR="00005E35" w:rsidRPr="00404F89" w:rsidSect="00B47780">
      <w:headerReference w:type="default" r:id="rId8"/>
      <w:footerReference w:type="default" r:id="rId9"/>
      <w:pgSz w:w="16840" w:h="11907" w:orient="landscape" w:code="9"/>
      <w:pgMar w:top="851" w:right="851" w:bottom="851" w:left="1134" w:header="567" w:footer="0" w:gutter="0"/>
      <w:cols w:space="226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AF" w:rsidRDefault="007A43AF">
      <w:pPr>
        <w:spacing w:after="0" w:line="240" w:lineRule="auto"/>
      </w:pPr>
      <w:r>
        <w:separator/>
      </w:r>
    </w:p>
  </w:endnote>
  <w:endnote w:type="continuationSeparator" w:id="0">
    <w:p w:rsidR="007A43AF" w:rsidRDefault="007A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0F" w:rsidRDefault="00DC370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AF" w:rsidRDefault="007A43AF">
      <w:pPr>
        <w:spacing w:after="0" w:line="240" w:lineRule="auto"/>
      </w:pPr>
      <w:r>
        <w:separator/>
      </w:r>
    </w:p>
  </w:footnote>
  <w:footnote w:type="continuationSeparator" w:id="0">
    <w:p w:rsidR="007A43AF" w:rsidRDefault="007A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0F" w:rsidRPr="00692107" w:rsidRDefault="00DC370F">
    <w:pPr>
      <w:pStyle w:val="af2"/>
      <w:jc w:val="center"/>
      <w:rPr>
        <w:rFonts w:ascii="Tahoma" w:hAnsi="Tahoma" w:cs="Tahoma"/>
        <w:sz w:val="18"/>
        <w:szCs w:val="18"/>
      </w:rPr>
    </w:pPr>
    <w:r w:rsidRPr="00692107">
      <w:rPr>
        <w:rFonts w:ascii="Tahoma" w:hAnsi="Tahoma" w:cs="Tahoma"/>
        <w:sz w:val="18"/>
        <w:szCs w:val="18"/>
      </w:rPr>
      <w:fldChar w:fldCharType="begin"/>
    </w:r>
    <w:r w:rsidRPr="00692107">
      <w:rPr>
        <w:rFonts w:ascii="Tahoma" w:hAnsi="Tahoma" w:cs="Tahoma"/>
        <w:sz w:val="18"/>
        <w:szCs w:val="18"/>
      </w:rPr>
      <w:instrText>PAGE   \* MERGEFORMAT</w:instrText>
    </w:r>
    <w:r w:rsidRPr="00692107">
      <w:rPr>
        <w:rFonts w:ascii="Tahoma" w:hAnsi="Tahoma" w:cs="Tahoma"/>
        <w:sz w:val="18"/>
        <w:szCs w:val="18"/>
      </w:rPr>
      <w:fldChar w:fldCharType="separate"/>
    </w:r>
    <w:r w:rsidR="00671CEC">
      <w:rPr>
        <w:rFonts w:ascii="Tahoma" w:hAnsi="Tahoma" w:cs="Tahoma"/>
        <w:noProof/>
        <w:sz w:val="18"/>
        <w:szCs w:val="18"/>
      </w:rPr>
      <w:t>2</w:t>
    </w:r>
    <w:r w:rsidRPr="00692107">
      <w:rPr>
        <w:rFonts w:ascii="Tahoma" w:hAnsi="Tahoma" w:cs="Tahoma"/>
        <w:sz w:val="18"/>
        <w:szCs w:val="18"/>
      </w:rPr>
      <w:fldChar w:fldCharType="end"/>
    </w:r>
  </w:p>
  <w:p w:rsidR="00DC370F" w:rsidRDefault="00DC37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808"/>
    <w:multiLevelType w:val="hybridMultilevel"/>
    <w:tmpl w:val="A4E6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029F"/>
    <w:multiLevelType w:val="hybridMultilevel"/>
    <w:tmpl w:val="69D0E4C0"/>
    <w:lvl w:ilvl="0" w:tplc="1FD6D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658C"/>
    <w:multiLevelType w:val="multilevel"/>
    <w:tmpl w:val="5EB49BE2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E654D"/>
    <w:multiLevelType w:val="hybridMultilevel"/>
    <w:tmpl w:val="B70A8C7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A4B53"/>
    <w:multiLevelType w:val="multilevel"/>
    <w:tmpl w:val="DFBE39BE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30D"/>
    <w:multiLevelType w:val="hybridMultilevel"/>
    <w:tmpl w:val="987AF8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7F3455"/>
    <w:multiLevelType w:val="hybridMultilevel"/>
    <w:tmpl w:val="503C725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41FD9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468"/>
    <w:multiLevelType w:val="hybridMultilevel"/>
    <w:tmpl w:val="03262DBE"/>
    <w:lvl w:ilvl="0" w:tplc="35683D00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6B0832"/>
    <w:multiLevelType w:val="multilevel"/>
    <w:tmpl w:val="4E84994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12DD8"/>
    <w:multiLevelType w:val="multilevel"/>
    <w:tmpl w:val="C6960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6202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D16"/>
    <w:multiLevelType w:val="hybridMultilevel"/>
    <w:tmpl w:val="8794C15A"/>
    <w:lvl w:ilvl="0" w:tplc="3BBAA1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06E6C"/>
    <w:multiLevelType w:val="hybridMultilevel"/>
    <w:tmpl w:val="756ACFB8"/>
    <w:lvl w:ilvl="0" w:tplc="A13CF61E">
      <w:start w:val="1"/>
      <w:numFmt w:val="decimal"/>
      <w:lvlText w:val="%1)"/>
      <w:lvlJc w:val="left"/>
      <w:pPr>
        <w:ind w:left="644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D62424"/>
    <w:multiLevelType w:val="multilevel"/>
    <w:tmpl w:val="D14A9140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41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C3EC6"/>
    <w:multiLevelType w:val="multilevel"/>
    <w:tmpl w:val="F366324E"/>
    <w:lvl w:ilvl="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95BDE"/>
    <w:multiLevelType w:val="hybridMultilevel"/>
    <w:tmpl w:val="C3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C0698"/>
    <w:multiLevelType w:val="multilevel"/>
    <w:tmpl w:val="DB34091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A6239"/>
    <w:multiLevelType w:val="multilevel"/>
    <w:tmpl w:val="43BCD12C"/>
    <w:lvl w:ilvl="0">
      <w:start w:val="1"/>
      <w:numFmt w:val="decimal"/>
      <w:lvlText w:val="%1)"/>
      <w:lvlJc w:val="left"/>
      <w:pPr>
        <w:tabs>
          <w:tab w:val="num" w:pos="660"/>
        </w:tabs>
        <w:ind w:left="416" w:hanging="56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6353F"/>
    <w:multiLevelType w:val="hybridMultilevel"/>
    <w:tmpl w:val="57FAA82E"/>
    <w:lvl w:ilvl="0" w:tplc="6D9A481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65F8"/>
    <w:multiLevelType w:val="multilevel"/>
    <w:tmpl w:val="7994B11C"/>
    <w:lvl w:ilvl="0">
      <w:start w:val="1"/>
      <w:numFmt w:val="decimal"/>
      <w:lvlText w:val="%1)"/>
      <w:lvlJc w:val="right"/>
      <w:pPr>
        <w:tabs>
          <w:tab w:val="num" w:pos="357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27352"/>
    <w:multiLevelType w:val="hybridMultilevel"/>
    <w:tmpl w:val="D0CCB882"/>
    <w:lvl w:ilvl="0" w:tplc="EADED6E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7504A"/>
    <w:multiLevelType w:val="multilevel"/>
    <w:tmpl w:val="105C04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15469"/>
    <w:multiLevelType w:val="hybridMultilevel"/>
    <w:tmpl w:val="5E789D5E"/>
    <w:lvl w:ilvl="0" w:tplc="5ADAB9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6F1999"/>
    <w:multiLevelType w:val="hybridMultilevel"/>
    <w:tmpl w:val="91501AD4"/>
    <w:lvl w:ilvl="0" w:tplc="EF647EF4">
      <w:start w:val="1"/>
      <w:numFmt w:val="decimal"/>
      <w:lvlText w:val="%1)"/>
      <w:lvlJc w:val="right"/>
      <w:pPr>
        <w:tabs>
          <w:tab w:val="num" w:pos="113"/>
        </w:tabs>
        <w:ind w:left="0" w:firstLine="113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484C"/>
    <w:multiLevelType w:val="hybridMultilevel"/>
    <w:tmpl w:val="8A80BACE"/>
    <w:lvl w:ilvl="0" w:tplc="0C32356A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sz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F37499"/>
    <w:multiLevelType w:val="hybridMultilevel"/>
    <w:tmpl w:val="B2D0859C"/>
    <w:lvl w:ilvl="0" w:tplc="67860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TCourierVK/Cyrillic" w:hAnsi="NTCourierVK/Cyrillic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C5"/>
    <w:multiLevelType w:val="multilevel"/>
    <w:tmpl w:val="DE28215A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297949"/>
    <w:multiLevelType w:val="hybridMultilevel"/>
    <w:tmpl w:val="F186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82F02"/>
    <w:multiLevelType w:val="multilevel"/>
    <w:tmpl w:val="6C4AE532"/>
    <w:lvl w:ilvl="0">
      <w:start w:val="1"/>
      <w:numFmt w:val="decimal"/>
      <w:lvlText w:val="%1)"/>
      <w:lvlJc w:val="left"/>
      <w:pPr>
        <w:tabs>
          <w:tab w:val="num" w:pos="357"/>
        </w:tabs>
        <w:ind w:left="113" w:firstLine="247"/>
      </w:pPr>
      <w:rPr>
        <w:rFonts w:hint="default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F6CA5"/>
    <w:multiLevelType w:val="hybridMultilevel"/>
    <w:tmpl w:val="FA506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04A3D"/>
    <w:multiLevelType w:val="multilevel"/>
    <w:tmpl w:val="EAFA33CC"/>
    <w:lvl w:ilvl="0">
      <w:start w:val="1"/>
      <w:numFmt w:val="decimal"/>
      <w:lvlText w:val="%1)"/>
      <w:lvlJc w:val="right"/>
      <w:pPr>
        <w:tabs>
          <w:tab w:val="num" w:pos="0"/>
        </w:tabs>
        <w:ind w:left="0" w:firstLine="170"/>
      </w:pPr>
      <w:rPr>
        <w:rFonts w:ascii="Tahoma" w:hAnsi="Tahoma" w:hint="default"/>
        <w:b w:val="0"/>
        <w:i w:val="0"/>
        <w:sz w:val="16"/>
        <w:szCs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1"/>
  </w:num>
  <w:num w:numId="5">
    <w:abstractNumId w:val="3"/>
  </w:num>
  <w:num w:numId="6">
    <w:abstractNumId w:val="6"/>
  </w:num>
  <w:num w:numId="7">
    <w:abstractNumId w:val="24"/>
  </w:num>
  <w:num w:numId="8">
    <w:abstractNumId w:val="10"/>
  </w:num>
  <w:num w:numId="9">
    <w:abstractNumId w:val="15"/>
  </w:num>
  <w:num w:numId="10">
    <w:abstractNumId w:val="27"/>
  </w:num>
  <w:num w:numId="11">
    <w:abstractNumId w:val="20"/>
  </w:num>
  <w:num w:numId="12">
    <w:abstractNumId w:val="29"/>
  </w:num>
  <w:num w:numId="13">
    <w:abstractNumId w:val="18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2"/>
  </w:num>
  <w:num w:numId="21">
    <w:abstractNumId w:val="31"/>
  </w:num>
  <w:num w:numId="22">
    <w:abstractNumId w:val="21"/>
  </w:num>
  <w:num w:numId="23">
    <w:abstractNumId w:val="12"/>
  </w:num>
  <w:num w:numId="24">
    <w:abstractNumId w:val="13"/>
  </w:num>
  <w:num w:numId="25">
    <w:abstractNumId w:val="8"/>
  </w:num>
  <w:num w:numId="26">
    <w:abstractNumId w:val="25"/>
  </w:num>
  <w:num w:numId="27">
    <w:abstractNumId w:val="19"/>
  </w:num>
  <w:num w:numId="28">
    <w:abstractNumId w:val="5"/>
  </w:num>
  <w:num w:numId="29">
    <w:abstractNumId w:val="16"/>
  </w:num>
  <w:num w:numId="30">
    <w:abstractNumId w:val="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6D"/>
    <w:rsid w:val="00005E35"/>
    <w:rsid w:val="00032887"/>
    <w:rsid w:val="0004221F"/>
    <w:rsid w:val="00042BA9"/>
    <w:rsid w:val="00066C8E"/>
    <w:rsid w:val="000B261E"/>
    <w:rsid w:val="00123FDF"/>
    <w:rsid w:val="0013351F"/>
    <w:rsid w:val="00176A14"/>
    <w:rsid w:val="001A7DCA"/>
    <w:rsid w:val="001F002F"/>
    <w:rsid w:val="001F0ACC"/>
    <w:rsid w:val="001F17FB"/>
    <w:rsid w:val="00243F1B"/>
    <w:rsid w:val="00274554"/>
    <w:rsid w:val="003353E4"/>
    <w:rsid w:val="00351469"/>
    <w:rsid w:val="00396511"/>
    <w:rsid w:val="003A4675"/>
    <w:rsid w:val="003C040C"/>
    <w:rsid w:val="003C3EF7"/>
    <w:rsid w:val="004017BA"/>
    <w:rsid w:val="004023DF"/>
    <w:rsid w:val="00404F89"/>
    <w:rsid w:val="00427BEC"/>
    <w:rsid w:val="004728BB"/>
    <w:rsid w:val="00492BF4"/>
    <w:rsid w:val="00515FB1"/>
    <w:rsid w:val="00535196"/>
    <w:rsid w:val="00555398"/>
    <w:rsid w:val="00596FED"/>
    <w:rsid w:val="005A5B51"/>
    <w:rsid w:val="005D187E"/>
    <w:rsid w:val="00626AA9"/>
    <w:rsid w:val="00637118"/>
    <w:rsid w:val="00671CEC"/>
    <w:rsid w:val="00681032"/>
    <w:rsid w:val="0069713C"/>
    <w:rsid w:val="006B66D2"/>
    <w:rsid w:val="006F5F6A"/>
    <w:rsid w:val="00793BCA"/>
    <w:rsid w:val="007A43AF"/>
    <w:rsid w:val="007A76A0"/>
    <w:rsid w:val="007F67E1"/>
    <w:rsid w:val="00852A1D"/>
    <w:rsid w:val="00880EB9"/>
    <w:rsid w:val="008C01F9"/>
    <w:rsid w:val="008C6221"/>
    <w:rsid w:val="008D6B2A"/>
    <w:rsid w:val="009504D6"/>
    <w:rsid w:val="009543EC"/>
    <w:rsid w:val="009A7C6B"/>
    <w:rsid w:val="009E06CC"/>
    <w:rsid w:val="00A05440"/>
    <w:rsid w:val="00A15881"/>
    <w:rsid w:val="00A2774C"/>
    <w:rsid w:val="00A505FF"/>
    <w:rsid w:val="00A63D90"/>
    <w:rsid w:val="00AA3059"/>
    <w:rsid w:val="00AE5530"/>
    <w:rsid w:val="00B33869"/>
    <w:rsid w:val="00B43564"/>
    <w:rsid w:val="00B47780"/>
    <w:rsid w:val="00B63A28"/>
    <w:rsid w:val="00B90F93"/>
    <w:rsid w:val="00B96D46"/>
    <w:rsid w:val="00BA7E42"/>
    <w:rsid w:val="00BC6A95"/>
    <w:rsid w:val="00BF65D6"/>
    <w:rsid w:val="00C0412D"/>
    <w:rsid w:val="00C23CA9"/>
    <w:rsid w:val="00C6787E"/>
    <w:rsid w:val="00CA07C5"/>
    <w:rsid w:val="00CB4BB4"/>
    <w:rsid w:val="00D3477C"/>
    <w:rsid w:val="00D96EA4"/>
    <w:rsid w:val="00DA07FF"/>
    <w:rsid w:val="00DC370F"/>
    <w:rsid w:val="00DD5E31"/>
    <w:rsid w:val="00E45F23"/>
    <w:rsid w:val="00EA2B0F"/>
    <w:rsid w:val="00EA5428"/>
    <w:rsid w:val="00EC516D"/>
    <w:rsid w:val="00F358D1"/>
    <w:rsid w:val="00F77106"/>
    <w:rsid w:val="00FB60CD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4316-6BF8-4300-B8FD-44E7864B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4F8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F8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F89"/>
    <w:pPr>
      <w:keepNext/>
      <w:spacing w:after="0" w:line="240" w:lineRule="auto"/>
      <w:jc w:val="right"/>
      <w:outlineLvl w:val="2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F89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4F89"/>
    <w:pPr>
      <w:keepNext/>
      <w:spacing w:after="0" w:line="240" w:lineRule="auto"/>
      <w:jc w:val="center"/>
      <w:outlineLvl w:val="4"/>
    </w:pPr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4F89"/>
    <w:pPr>
      <w:keepNext/>
      <w:spacing w:after="0" w:line="223" w:lineRule="auto"/>
      <w:jc w:val="center"/>
      <w:outlineLvl w:val="5"/>
    </w:pPr>
    <w:rPr>
      <w:rFonts w:ascii="Tahoma" w:eastAsia="Times New Roman" w:hAnsi="Tahoma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4F89"/>
    <w:pPr>
      <w:keepNext/>
      <w:spacing w:after="0" w:line="240" w:lineRule="auto"/>
      <w:ind w:left="-57" w:right="-57"/>
      <w:outlineLvl w:val="6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4F89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bCs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4F89"/>
    <w:pPr>
      <w:keepNext/>
      <w:spacing w:before="120" w:after="0" w:line="240" w:lineRule="auto"/>
      <w:outlineLvl w:val="8"/>
    </w:pPr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4F89"/>
    <w:rPr>
      <w:rFonts w:ascii="Tahoma" w:eastAsia="Times New Roman" w:hAnsi="Tahoma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4F89"/>
    <w:rPr>
      <w:rFonts w:ascii="NTCourierVK/Cyrillic" w:eastAsia="Times New Roman" w:hAnsi="NTCourierVK/Cyrillic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4F89"/>
    <w:rPr>
      <w:rFonts w:ascii="Tahoma" w:eastAsia="Times New Roman" w:hAnsi="Tahoma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4F89"/>
    <w:rPr>
      <w:rFonts w:ascii="Tahoma" w:eastAsia="Times New Roman" w:hAnsi="Tahoma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4F89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404F89"/>
  </w:style>
  <w:style w:type="paragraph" w:styleId="a3">
    <w:name w:val="Title"/>
    <w:basedOn w:val="a"/>
    <w:link w:val="a4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404F89"/>
    <w:pPr>
      <w:spacing w:after="0" w:line="240" w:lineRule="auto"/>
    </w:pPr>
    <w:rPr>
      <w:rFonts w:ascii="Tahoma" w:eastAsia="Times New Roman" w:hAnsi="Tahoma" w:cs="Times New Roman"/>
      <w:b/>
      <w:i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04F89"/>
    <w:rPr>
      <w:rFonts w:ascii="Tahoma" w:eastAsia="Times New Roman" w:hAnsi="Tahoma" w:cs="Times New Roman"/>
      <w:b/>
      <w:i/>
      <w:sz w:val="16"/>
      <w:szCs w:val="20"/>
      <w:lang w:eastAsia="ru-RU"/>
    </w:rPr>
  </w:style>
  <w:style w:type="paragraph" w:styleId="a5">
    <w:name w:val="Body Text"/>
    <w:basedOn w:val="a"/>
    <w:link w:val="a6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04F89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styleId="a7">
    <w:name w:val="Body Text Indent"/>
    <w:basedOn w:val="a"/>
    <w:link w:val="a8"/>
    <w:rsid w:val="00404F89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styleId="21">
    <w:name w:val="Body Text 2"/>
    <w:basedOn w:val="a"/>
    <w:link w:val="22"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4F89"/>
    <w:rPr>
      <w:rFonts w:ascii="Tahoma" w:eastAsia="Times New Roman" w:hAnsi="Tahoma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404F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04F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04F89"/>
    <w:pPr>
      <w:spacing w:after="0" w:line="288" w:lineRule="auto"/>
      <w:ind w:firstLine="567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04F89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71">
    <w:name w:val="7."/>
    <w:rsid w:val="00404F89"/>
    <w:pPr>
      <w:widowControl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Subtitle"/>
    <w:basedOn w:val="a"/>
    <w:link w:val="ac"/>
    <w:qFormat/>
    <w:rsid w:val="00404F89"/>
    <w:pPr>
      <w:spacing w:after="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04F89"/>
    <w:rPr>
      <w:rFonts w:ascii="Tahoma" w:eastAsia="Times New Roman" w:hAnsi="Tahoma" w:cs="Times New Roman"/>
      <w:b/>
      <w:sz w:val="20"/>
      <w:szCs w:val="20"/>
      <w:lang w:eastAsia="ru-RU"/>
    </w:rPr>
  </w:style>
  <w:style w:type="paragraph" w:styleId="25">
    <w:name w:val="envelope return"/>
    <w:basedOn w:val="a"/>
    <w:rsid w:val="00404F89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ru-RU"/>
    </w:rPr>
  </w:style>
  <w:style w:type="paragraph" w:styleId="ad">
    <w:name w:val="caption"/>
    <w:basedOn w:val="a"/>
    <w:next w:val="a"/>
    <w:qFormat/>
    <w:rsid w:val="00404F89"/>
    <w:pPr>
      <w:spacing w:after="0" w:line="240" w:lineRule="auto"/>
    </w:pPr>
    <w:rPr>
      <w:rFonts w:ascii="Tahoma" w:eastAsia="Times New Roman" w:hAnsi="Tahoma" w:cs="Times New Roman"/>
      <w:b/>
      <w:bCs/>
      <w:sz w:val="18"/>
      <w:szCs w:val="24"/>
      <w:lang w:eastAsia="ru-RU"/>
    </w:rPr>
  </w:style>
  <w:style w:type="paragraph" w:styleId="33">
    <w:name w:val="Body Text Indent 3"/>
    <w:basedOn w:val="a"/>
    <w:link w:val="34"/>
    <w:rsid w:val="00404F89"/>
    <w:pPr>
      <w:spacing w:after="0" w:line="223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4F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04F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04F8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4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rsid w:val="00404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header"/>
    <w:aliases w:val="ВерхКолонтитул"/>
    <w:basedOn w:val="a"/>
    <w:link w:val="af3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40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04F89"/>
    <w:pPr>
      <w:tabs>
        <w:tab w:val="center" w:pos="4677"/>
        <w:tab w:val="right" w:pos="9355"/>
      </w:tabs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404F89"/>
    <w:rPr>
      <w:rFonts w:ascii="NTCourierVK/Cyrillic" w:eastAsia="Times New Roman" w:hAnsi="NTCourierVK/Cyrillic" w:cs="Times New Roman"/>
      <w:sz w:val="20"/>
      <w:szCs w:val="20"/>
      <w:lang w:val="x-none" w:eastAsia="x-none"/>
    </w:rPr>
  </w:style>
  <w:style w:type="paragraph" w:customStyle="1" w:styleId="af6">
    <w:name w:val="Верхний колонтитул.ВерхКолонтитул"/>
    <w:basedOn w:val="a"/>
    <w:rsid w:val="00404F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7">
    <w:name w:val="annotation reference"/>
    <w:rsid w:val="00404F89"/>
    <w:rPr>
      <w:sz w:val="16"/>
      <w:szCs w:val="16"/>
    </w:rPr>
  </w:style>
  <w:style w:type="paragraph" w:styleId="af8">
    <w:name w:val="annotation text"/>
    <w:basedOn w:val="a"/>
    <w:link w:val="af9"/>
    <w:rsid w:val="00404F89"/>
    <w:pPr>
      <w:spacing w:after="0" w:line="240" w:lineRule="auto"/>
    </w:pPr>
    <w:rPr>
      <w:rFonts w:ascii="NTCourierVK/Cyrillic" w:eastAsia="Times New Roman" w:hAnsi="NTCourierVK/Cyrillic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04F89"/>
    <w:rPr>
      <w:rFonts w:ascii="NTCourierVK/Cyrillic" w:eastAsia="Times New Roman" w:hAnsi="NTCourierVK/Cyrillic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04F89"/>
    <w:rPr>
      <w:b/>
      <w:bCs/>
    </w:rPr>
  </w:style>
  <w:style w:type="character" w:customStyle="1" w:styleId="afb">
    <w:name w:val="Тема примечания Знак"/>
    <w:basedOn w:val="af9"/>
    <w:link w:val="afa"/>
    <w:rsid w:val="00404F89"/>
    <w:rPr>
      <w:rFonts w:ascii="NTCourierVK/Cyrillic" w:eastAsia="Times New Roman" w:hAnsi="NTCourierVK/Cyrillic" w:cs="Times New Roman"/>
      <w:b/>
      <w:bCs/>
      <w:sz w:val="20"/>
      <w:szCs w:val="20"/>
      <w:lang w:eastAsia="ru-RU"/>
    </w:rPr>
  </w:style>
  <w:style w:type="table" w:styleId="afc">
    <w:name w:val="Table Grid"/>
    <w:basedOn w:val="a1"/>
    <w:rsid w:val="004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rsid w:val="00404F89"/>
  </w:style>
  <w:style w:type="paragraph" w:customStyle="1" w:styleId="12">
    <w:name w:val="Знак Знак1 Знак"/>
    <w:basedOn w:val="a"/>
    <w:rsid w:val="00404F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9FCD-4072-43CE-A199-4DDFD49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Струтинская Елена Анатольевна</dc:creator>
  <cp:lastModifiedBy>SE</cp:lastModifiedBy>
  <cp:revision>4</cp:revision>
  <cp:lastPrinted>2023-10-02T08:43:00Z</cp:lastPrinted>
  <dcterms:created xsi:type="dcterms:W3CDTF">2023-11-07T14:05:00Z</dcterms:created>
  <dcterms:modified xsi:type="dcterms:W3CDTF">2024-07-15T07:49:00Z</dcterms:modified>
</cp:coreProperties>
</file>