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483" w:rsidRDefault="00501483" w:rsidP="00404F89">
      <w:pPr>
        <w:keepNext/>
        <w:spacing w:after="0" w:line="240" w:lineRule="auto"/>
        <w:jc w:val="center"/>
        <w:outlineLvl w:val="1"/>
        <w:rPr>
          <w:rFonts w:ascii="Tahoma" w:eastAsia="Times New Roman" w:hAnsi="Tahoma" w:cs="Times New Roman"/>
          <w:b/>
          <w:lang w:eastAsia="ru-RU"/>
        </w:rPr>
      </w:pPr>
    </w:p>
    <w:p w:rsidR="00404F89" w:rsidRPr="00404F89" w:rsidRDefault="00404F89" w:rsidP="00404F89">
      <w:pPr>
        <w:keepNext/>
        <w:spacing w:after="0" w:line="240" w:lineRule="auto"/>
        <w:jc w:val="center"/>
        <w:outlineLvl w:val="1"/>
        <w:rPr>
          <w:rFonts w:ascii="Tahoma" w:eastAsia="Times New Roman" w:hAnsi="Tahoma" w:cs="Times New Roman"/>
          <w:b/>
          <w:lang w:eastAsia="ru-RU"/>
        </w:rPr>
      </w:pPr>
      <w:r w:rsidRPr="00404F89">
        <w:rPr>
          <w:rFonts w:ascii="Tahoma" w:eastAsia="Times New Roman" w:hAnsi="Tahoma" w:cs="Times New Roman"/>
          <w:b/>
          <w:lang w:eastAsia="ru-RU"/>
        </w:rPr>
        <w:t>ФЕДЕРАЛЬНАЯ СЛУЖБА ГОСУДАРСТВЕННОЙ СТАТИСТИКИ</w:t>
      </w:r>
    </w:p>
    <w:p w:rsidR="00404F89" w:rsidRPr="00404F89" w:rsidRDefault="00404F89" w:rsidP="00404F89">
      <w:pPr>
        <w:spacing w:before="60" w:after="0" w:line="240" w:lineRule="auto"/>
        <w:jc w:val="center"/>
        <w:rPr>
          <w:rFonts w:ascii="Tahoma" w:eastAsia="Times New Roman" w:hAnsi="Tahoma" w:cs="Times New Roman"/>
          <w:b/>
          <w:lang w:val="x-none" w:eastAsia="x-none"/>
        </w:rPr>
      </w:pPr>
      <w:r w:rsidRPr="00404F89">
        <w:rPr>
          <w:rFonts w:ascii="Tahoma" w:eastAsia="Times New Roman" w:hAnsi="Tahoma" w:cs="Times New Roman"/>
          <w:b/>
          <w:lang w:val="x-none" w:eastAsia="x-none"/>
        </w:rPr>
        <w:t>Территориальный орган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b/>
          <w:lang w:val="x-none" w:eastAsia="x-none"/>
        </w:rPr>
        <w:t>Федеральной службы государственной статистики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lang w:val="x-none" w:eastAsia="x-none"/>
        </w:rPr>
      </w:pPr>
      <w:r w:rsidRPr="00404F89">
        <w:rPr>
          <w:rFonts w:ascii="Tahoma" w:eastAsia="Times New Roman" w:hAnsi="Tahoma" w:cs="Times New Roman"/>
          <w:b/>
          <w:lang w:val="x-none" w:eastAsia="x-none"/>
        </w:rPr>
        <w:t>по Псковской области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lang w:val="x-none" w:eastAsia="x-none"/>
        </w:rPr>
      </w:pPr>
      <w:r w:rsidRPr="00404F89">
        <w:rPr>
          <w:rFonts w:ascii="Tahoma" w:eastAsia="Times New Roman" w:hAnsi="Tahoma" w:cs="Times New Roman"/>
          <w:b/>
          <w:lang w:val="x-none" w:eastAsia="x-none"/>
        </w:rPr>
        <w:t>(Псковстат)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</w:pPr>
    </w:p>
    <w:p w:rsidR="00437FAE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8"/>
          <w:szCs w:val="24"/>
          <w:lang w:eastAsia="x-none"/>
        </w:rPr>
      </w:pPr>
      <w:r w:rsidRPr="00404F89">
        <w:rPr>
          <w:rFonts w:ascii="Tahoma" w:eastAsia="Times New Roman" w:hAnsi="Tahoma" w:cs="Times New Roman"/>
          <w:b/>
          <w:sz w:val="28"/>
          <w:szCs w:val="24"/>
          <w:lang w:val="x-none" w:eastAsia="x-none"/>
        </w:rPr>
        <w:t xml:space="preserve">Основные показатели финансовой деятельности </w:t>
      </w:r>
      <w:r w:rsidRPr="00404F89">
        <w:rPr>
          <w:rFonts w:ascii="Tahoma" w:eastAsia="Times New Roman" w:hAnsi="Tahoma" w:cs="Times New Roman"/>
          <w:b/>
          <w:sz w:val="28"/>
          <w:szCs w:val="24"/>
          <w:lang w:eastAsia="x-none"/>
        </w:rPr>
        <w:br/>
      </w:r>
      <w:r w:rsidR="00737B21">
        <w:rPr>
          <w:rFonts w:ascii="Tahoma" w:eastAsia="Times New Roman" w:hAnsi="Tahoma" w:cs="Times New Roman"/>
          <w:b/>
          <w:sz w:val="28"/>
          <w:szCs w:val="24"/>
          <w:lang w:eastAsia="x-none"/>
        </w:rPr>
        <w:t xml:space="preserve">организаций </w:t>
      </w:r>
      <w:r w:rsidR="00437FAE">
        <w:rPr>
          <w:rFonts w:ascii="Tahoma" w:eastAsia="Times New Roman" w:hAnsi="Tahoma" w:cs="Times New Roman"/>
          <w:b/>
          <w:sz w:val="28"/>
          <w:szCs w:val="24"/>
          <w:lang w:val="x-none" w:eastAsia="x-none"/>
        </w:rPr>
        <w:t>по муниципальн</w:t>
      </w:r>
      <w:r w:rsidR="00437FAE">
        <w:rPr>
          <w:rFonts w:ascii="Tahoma" w:eastAsia="Times New Roman" w:hAnsi="Tahoma" w:cs="Times New Roman"/>
          <w:b/>
          <w:sz w:val="28"/>
          <w:szCs w:val="24"/>
          <w:lang w:eastAsia="x-none"/>
        </w:rPr>
        <w:t xml:space="preserve">ому образованию «Бежаницкий район» 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4"/>
          <w:szCs w:val="24"/>
          <w:lang w:val="x-none" w:eastAsia="x-none"/>
        </w:rPr>
        <w:t>за 20</w:t>
      </w:r>
      <w:r w:rsidR="003422B8">
        <w:rPr>
          <w:rFonts w:ascii="Tahoma" w:eastAsia="Times New Roman" w:hAnsi="Tahoma" w:cs="Times New Roman"/>
          <w:b/>
          <w:sz w:val="24"/>
          <w:szCs w:val="24"/>
          <w:lang w:eastAsia="x-none"/>
        </w:rPr>
        <w:t>21</w:t>
      </w:r>
      <w:r w:rsidRPr="00404F89">
        <w:rPr>
          <w:rFonts w:ascii="Tahoma" w:eastAsia="Times New Roman" w:hAnsi="Tahoma" w:cs="Times New Roman"/>
          <w:b/>
          <w:sz w:val="24"/>
          <w:szCs w:val="24"/>
          <w:lang w:val="x-none" w:eastAsia="x-none"/>
        </w:rPr>
        <w:t xml:space="preserve"> год 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szCs w:val="28"/>
          <w:lang w:val="x-none" w:eastAsia="x-none"/>
        </w:rPr>
      </w:pPr>
      <w:r w:rsidRPr="00404F89">
        <w:rPr>
          <w:rFonts w:ascii="Tahoma" w:eastAsia="Times New Roman" w:hAnsi="Tahoma" w:cs="Tahoma"/>
          <w:szCs w:val="28"/>
          <w:lang w:eastAsia="ru-RU"/>
        </w:rPr>
        <w:t>(по данным бухгалтерской (финансовой) отчетности организаций)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16" w:lineRule="auto"/>
        <w:jc w:val="center"/>
        <w:textAlignment w:val="baseline"/>
        <w:rPr>
          <w:rFonts w:ascii="Tahoma" w:eastAsia="Times New Roman" w:hAnsi="Tahoma" w:cs="Tahoma"/>
          <w:b/>
          <w:sz w:val="24"/>
          <w:lang w:eastAsia="ru-RU"/>
        </w:rPr>
      </w:pPr>
      <w:r w:rsidRPr="00404F89">
        <w:rPr>
          <w:rFonts w:ascii="Tahoma" w:eastAsia="Times New Roman" w:hAnsi="Tahoma" w:cs="Tahoma"/>
          <w:b/>
          <w:sz w:val="24"/>
          <w:lang w:eastAsia="ru-RU"/>
        </w:rPr>
        <w:t>Статистический бюллетень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  <w:r w:rsidRPr="00404F89">
        <w:rPr>
          <w:rFonts w:ascii="Tahoma" w:eastAsia="Times New Roman" w:hAnsi="Tahoma" w:cs="Tahoma"/>
          <w:b/>
          <w:lang w:val="x-none" w:eastAsia="x-none"/>
        </w:rPr>
        <w:t>Псков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  <w:r w:rsidRPr="00404F89">
        <w:rPr>
          <w:rFonts w:ascii="Tahoma" w:eastAsia="Times New Roman" w:hAnsi="Tahoma" w:cs="Tahoma"/>
          <w:b/>
          <w:lang w:val="x-none" w:eastAsia="x-none"/>
        </w:rPr>
        <w:t>20</w:t>
      </w:r>
      <w:r w:rsidRPr="00404F89">
        <w:rPr>
          <w:rFonts w:ascii="Tahoma" w:eastAsia="Times New Roman" w:hAnsi="Tahoma" w:cs="Tahoma"/>
          <w:b/>
          <w:lang w:eastAsia="x-none"/>
        </w:rPr>
        <w:t>2</w:t>
      </w:r>
      <w:r w:rsidR="003422B8">
        <w:rPr>
          <w:rFonts w:ascii="Tahoma" w:eastAsia="Times New Roman" w:hAnsi="Tahoma" w:cs="Tahoma"/>
          <w:b/>
          <w:lang w:eastAsia="x-none"/>
        </w:rPr>
        <w:t>2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404F89">
        <w:rPr>
          <w:rFonts w:ascii="Tahoma" w:eastAsia="Times New Roman" w:hAnsi="Tahoma" w:cs="Tahoma"/>
          <w:lang w:eastAsia="ru-RU"/>
        </w:rPr>
        <w:t xml:space="preserve">В бюллетене представлены материалы, характеризующие финансово-хозяйственную деятельность </w:t>
      </w:r>
      <w:r w:rsidR="003F1185" w:rsidRPr="003F1185">
        <w:rPr>
          <w:rFonts w:ascii="Tahoma" w:eastAsia="Times New Roman" w:hAnsi="Tahoma" w:cs="Tahoma"/>
          <w:lang w:eastAsia="ru-RU"/>
        </w:rPr>
        <w:t>организаций</w:t>
      </w:r>
      <w:r w:rsidRPr="003F1185">
        <w:rPr>
          <w:rFonts w:ascii="Tahoma" w:eastAsia="Times New Roman" w:hAnsi="Tahoma" w:cs="Tahoma"/>
          <w:lang w:eastAsia="ru-RU"/>
        </w:rPr>
        <w:t xml:space="preserve"> по муниципальным районам и городским округам</w:t>
      </w:r>
      <w:r w:rsidR="003F1185" w:rsidRPr="003F1185">
        <w:rPr>
          <w:rFonts w:ascii="Tahoma" w:eastAsia="Times New Roman" w:hAnsi="Tahoma" w:cs="Tahoma"/>
          <w:lang w:eastAsia="ru-RU"/>
        </w:rPr>
        <w:t xml:space="preserve"> Псковской области за 202</w:t>
      </w:r>
      <w:r w:rsidR="00F040C2">
        <w:rPr>
          <w:rFonts w:ascii="Tahoma" w:eastAsia="Times New Roman" w:hAnsi="Tahoma" w:cs="Tahoma"/>
          <w:lang w:eastAsia="ru-RU"/>
        </w:rPr>
        <w:t>1</w:t>
      </w:r>
      <w:r w:rsidR="003F1185" w:rsidRPr="003F1185">
        <w:rPr>
          <w:rFonts w:ascii="Tahoma" w:eastAsia="Times New Roman" w:hAnsi="Tahoma" w:cs="Tahoma"/>
          <w:lang w:eastAsia="ru-RU"/>
        </w:rPr>
        <w:t xml:space="preserve"> год</w:t>
      </w:r>
      <w:r w:rsidRPr="003F1185">
        <w:rPr>
          <w:rFonts w:ascii="Tahoma" w:eastAsia="Times New Roman" w:hAnsi="Tahoma" w:cs="Tahoma"/>
          <w:lang w:eastAsia="ru-RU"/>
        </w:rPr>
        <w:t>.</w:t>
      </w:r>
      <w:r w:rsidR="003F1185" w:rsidRPr="003F1185">
        <w:rPr>
          <w:rFonts w:ascii="Tahoma" w:eastAsia="Times New Roman" w:hAnsi="Tahoma" w:cs="Tahoma"/>
          <w:lang w:eastAsia="ru-RU"/>
        </w:rPr>
        <w:t xml:space="preserve"> </w:t>
      </w:r>
      <w:r w:rsidRPr="003F1185">
        <w:rPr>
          <w:rFonts w:ascii="Tahoma" w:eastAsia="Times New Roman" w:hAnsi="Tahoma" w:cs="Tahoma"/>
          <w:lang w:eastAsia="ru-RU"/>
        </w:rPr>
        <w:t>Приведены сведения о финансовом состоянии и платежеспособности организаций всех форм собственности</w:t>
      </w:r>
      <w:r w:rsidRPr="003F1185">
        <w:rPr>
          <w:rFonts w:ascii="Tahoma" w:eastAsia="Times New Roman" w:hAnsi="Tahoma" w:cs="Tahoma"/>
          <w:i/>
          <w:lang w:eastAsia="ru-RU"/>
        </w:rPr>
        <w:t xml:space="preserve">, </w:t>
      </w:r>
      <w:r w:rsidRPr="003F1185">
        <w:rPr>
          <w:rFonts w:ascii="Tahoma" w:eastAsia="Times New Roman" w:hAnsi="Tahoma" w:cs="Tahoma"/>
          <w:lang w:eastAsia="ru-RU"/>
        </w:rPr>
        <w:t>полученные из государственного информационного ресурса бухгалтерской (финансовой) отчётности</w:t>
      </w:r>
      <w:r w:rsidRPr="00404F89">
        <w:rPr>
          <w:rFonts w:ascii="Tahoma" w:eastAsia="Times New Roman" w:hAnsi="Tahoma" w:cs="Tahoma"/>
          <w:lang w:eastAsia="ru-RU"/>
        </w:rPr>
        <w:t xml:space="preserve"> (оператор – ФНС РФ) по состоянию на </w:t>
      </w:r>
      <w:r w:rsidR="00F040C2">
        <w:rPr>
          <w:rFonts w:ascii="Tahoma" w:eastAsia="Times New Roman" w:hAnsi="Tahoma" w:cs="Tahoma"/>
          <w:lang w:eastAsia="ru-RU"/>
        </w:rPr>
        <w:t>6</w:t>
      </w:r>
      <w:r w:rsidRPr="00404F89">
        <w:rPr>
          <w:rFonts w:ascii="Tahoma" w:eastAsia="Times New Roman" w:hAnsi="Tahoma" w:cs="Tahoma"/>
          <w:lang w:eastAsia="ru-RU"/>
        </w:rPr>
        <w:t xml:space="preserve"> </w:t>
      </w:r>
      <w:r w:rsidR="00B47780">
        <w:rPr>
          <w:rFonts w:ascii="Tahoma" w:eastAsia="Times New Roman" w:hAnsi="Tahoma" w:cs="Tahoma"/>
          <w:lang w:eastAsia="ru-RU"/>
        </w:rPr>
        <w:t xml:space="preserve">сентября </w:t>
      </w:r>
      <w:r w:rsidRPr="00404F89">
        <w:rPr>
          <w:rFonts w:ascii="Tahoma" w:eastAsia="Times New Roman" w:hAnsi="Tahoma" w:cs="Tahoma"/>
          <w:lang w:eastAsia="ru-RU"/>
        </w:rPr>
        <w:t>202</w:t>
      </w:r>
      <w:r w:rsidR="00F040C2">
        <w:rPr>
          <w:rFonts w:ascii="Tahoma" w:eastAsia="Times New Roman" w:hAnsi="Tahoma" w:cs="Tahoma"/>
          <w:lang w:eastAsia="ru-RU"/>
        </w:rPr>
        <w:t>2</w:t>
      </w:r>
      <w:r w:rsidRPr="00404F89">
        <w:rPr>
          <w:rFonts w:ascii="Tahoma" w:eastAsia="Times New Roman" w:hAnsi="Tahoma" w:cs="Tahoma"/>
          <w:lang w:eastAsia="ru-RU"/>
        </w:rPr>
        <w:t xml:space="preserve"> года.</w:t>
      </w: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lang w:eastAsia="ru-RU"/>
        </w:rPr>
      </w:pPr>
    </w:p>
    <w:p w:rsidR="00404F89" w:rsidRPr="00404F89" w:rsidRDefault="00404F89" w:rsidP="00404F89">
      <w:pPr>
        <w:spacing w:after="0" w:line="240" w:lineRule="auto"/>
        <w:ind w:firstLine="709"/>
        <w:jc w:val="both"/>
        <w:rPr>
          <w:rFonts w:ascii="Tahoma" w:eastAsia="Times New Roman" w:hAnsi="Tahoma" w:cs="Times New Roman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ind w:firstLine="709"/>
        <w:jc w:val="both"/>
        <w:rPr>
          <w:rFonts w:ascii="Tahoma" w:eastAsia="Times New Roman" w:hAnsi="Tahoma" w:cs="Times New Roman"/>
          <w:szCs w:val="20"/>
          <w:lang w:val="x-none" w:eastAsia="x-none"/>
        </w:rPr>
      </w:pPr>
    </w:p>
    <w:p w:rsidR="00404F89" w:rsidRPr="00404F89" w:rsidRDefault="00B47780" w:rsidP="00404F89">
      <w:pPr>
        <w:spacing w:after="0" w:line="240" w:lineRule="auto"/>
        <w:ind w:firstLine="709"/>
        <w:jc w:val="both"/>
        <w:rPr>
          <w:rFonts w:ascii="Tahoma" w:eastAsia="Times New Roman" w:hAnsi="Tahoma" w:cs="Times New Roman"/>
          <w:lang w:eastAsia="x-none"/>
        </w:rPr>
      </w:pPr>
      <w:r>
        <w:rPr>
          <w:rFonts w:ascii="Tahoma" w:eastAsia="Times New Roman" w:hAnsi="Tahoma" w:cs="Times New Roman"/>
          <w:lang w:eastAsia="x-none"/>
        </w:rPr>
        <w:t xml:space="preserve">Территориальный </w:t>
      </w:r>
      <w:r w:rsidR="00404F89" w:rsidRPr="00404F89">
        <w:rPr>
          <w:rFonts w:ascii="Tahoma" w:eastAsia="Times New Roman" w:hAnsi="Tahoma" w:cs="Times New Roman"/>
          <w:lang w:val="x-none" w:eastAsia="x-none"/>
        </w:rPr>
        <w:t>орган</w:t>
      </w:r>
      <w:r w:rsidR="00404F89" w:rsidRPr="00404F89">
        <w:rPr>
          <w:rFonts w:ascii="Tahoma" w:eastAsia="Times New Roman" w:hAnsi="Tahoma" w:cs="Times New Roman"/>
          <w:lang w:eastAsia="x-none"/>
        </w:rPr>
        <w:t xml:space="preserve"> Ф</w:t>
      </w:r>
      <w:r>
        <w:rPr>
          <w:rFonts w:ascii="Tahoma" w:eastAsia="Times New Roman" w:hAnsi="Tahoma" w:cs="Times New Roman"/>
          <w:lang w:eastAsia="x-none"/>
        </w:rPr>
        <w:t xml:space="preserve">едеральной </w:t>
      </w:r>
      <w:r w:rsidR="00404F89" w:rsidRPr="00404F89">
        <w:rPr>
          <w:rFonts w:ascii="Tahoma" w:eastAsia="Times New Roman" w:hAnsi="Tahoma" w:cs="Times New Roman"/>
          <w:lang w:val="x-none" w:eastAsia="x-none"/>
        </w:rPr>
        <w:t>службы государственной статистики по Псковской области</w:t>
      </w:r>
      <w:r w:rsidR="00404F89" w:rsidRPr="00404F89">
        <w:rPr>
          <w:rFonts w:ascii="Tahoma" w:eastAsia="Times New Roman" w:hAnsi="Tahoma" w:cs="Times New Roman"/>
          <w:lang w:eastAsia="x-none"/>
        </w:rPr>
        <w:t xml:space="preserve"> является собственником данного издания</w:t>
      </w:r>
      <w:r w:rsidR="00404F89" w:rsidRPr="00404F89">
        <w:rPr>
          <w:rFonts w:ascii="Tahoma" w:eastAsia="Times New Roman" w:hAnsi="Tahoma" w:cs="Times New Roman"/>
          <w:lang w:val="x-none" w:eastAsia="x-none"/>
        </w:rPr>
        <w:t>.</w:t>
      </w:r>
      <w:r w:rsidR="00404F89" w:rsidRPr="00404F89">
        <w:rPr>
          <w:rFonts w:ascii="Tahoma" w:eastAsia="Times New Roman" w:hAnsi="Tahoma" w:cs="Times New Roman"/>
          <w:lang w:eastAsia="x-none"/>
        </w:rPr>
        <w:t xml:space="preserve"> Тиражирование, коммерческое использование и публикации в СМИ без разрешения собственника запрещено.</w:t>
      </w:r>
    </w:p>
    <w:p w:rsidR="00404F89" w:rsidRPr="00404F89" w:rsidRDefault="00404F89" w:rsidP="00404F89">
      <w:pPr>
        <w:spacing w:after="0" w:line="240" w:lineRule="auto"/>
        <w:ind w:firstLine="709"/>
        <w:jc w:val="both"/>
        <w:rPr>
          <w:rFonts w:ascii="Tahoma" w:eastAsia="Times New Roman" w:hAnsi="Tahoma" w:cs="Tahoma"/>
          <w:lang w:val="x-none" w:eastAsia="ru-RU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b/>
          <w:sz w:val="24"/>
          <w:lang w:eastAsia="ru-RU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b/>
          <w:sz w:val="24"/>
          <w:lang w:eastAsia="ru-RU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b/>
          <w:sz w:val="24"/>
          <w:lang w:eastAsia="ru-RU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b/>
          <w:sz w:val="24"/>
          <w:lang w:eastAsia="ru-RU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b/>
          <w:sz w:val="24"/>
          <w:lang w:eastAsia="ru-RU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lang w:val="x-none" w:eastAsia="x-none"/>
        </w:rPr>
      </w:pPr>
      <w:r w:rsidRPr="00404F89">
        <w:rPr>
          <w:rFonts w:ascii="Tahoma" w:eastAsia="Times New Roman" w:hAnsi="Tahoma" w:cs="Times New Roman"/>
          <w:lang w:val="x-none" w:eastAsia="x-none"/>
        </w:rPr>
        <w:t>Условные обозначения:</w:t>
      </w:r>
    </w:p>
    <w:p w:rsidR="00404F89" w:rsidRPr="00404F89" w:rsidRDefault="00404F89" w:rsidP="00404F89">
      <w:pPr>
        <w:spacing w:after="0" w:line="240" w:lineRule="auto"/>
        <w:rPr>
          <w:rFonts w:ascii="Tahoma" w:eastAsia="Times New Roman" w:hAnsi="Tahoma" w:cs="Times New Roman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rPr>
          <w:rFonts w:ascii="Tahoma" w:eastAsia="Times New Roman" w:hAnsi="Tahoma" w:cs="Times New Roman"/>
          <w:lang w:val="x-none" w:eastAsia="x-none"/>
        </w:rPr>
      </w:pPr>
      <w:r w:rsidRPr="00404F89">
        <w:rPr>
          <w:rFonts w:ascii="Tahoma" w:eastAsia="Times New Roman" w:hAnsi="Tahoma" w:cs="Times New Roman"/>
          <w:lang w:val="x-none" w:eastAsia="x-none"/>
        </w:rPr>
        <w:t xml:space="preserve">           </w:t>
      </w:r>
      <w:r w:rsidRPr="00404F89">
        <w:rPr>
          <w:rFonts w:ascii="Tahoma" w:eastAsia="Times New Roman" w:hAnsi="Tahoma" w:cs="Tahoma"/>
          <w:b/>
          <w:lang w:val="x-none" w:eastAsia="x-none"/>
        </w:rPr>
        <w:t>−</w:t>
      </w:r>
      <w:r w:rsidRPr="00404F89">
        <w:rPr>
          <w:rFonts w:ascii="Tahoma" w:eastAsia="Times New Roman" w:hAnsi="Tahoma" w:cs="Times New Roman"/>
          <w:lang w:val="x-none" w:eastAsia="x-none"/>
        </w:rPr>
        <w:t xml:space="preserve">   явление отсутствует;</w:t>
      </w:r>
    </w:p>
    <w:p w:rsidR="00404F89" w:rsidRPr="00404F89" w:rsidRDefault="00404F89" w:rsidP="00404F89">
      <w:pPr>
        <w:spacing w:after="0" w:line="240" w:lineRule="auto"/>
        <w:rPr>
          <w:rFonts w:ascii="Tahoma" w:eastAsia="Times New Roman" w:hAnsi="Tahoma" w:cs="Times New Roman"/>
          <w:lang w:eastAsia="x-none"/>
        </w:rPr>
      </w:pPr>
      <w:r w:rsidRPr="00404F89">
        <w:rPr>
          <w:rFonts w:ascii="Tahoma" w:eastAsia="Times New Roman" w:hAnsi="Tahoma" w:cs="Times New Roman"/>
          <w:lang w:val="x-none" w:eastAsia="x-none"/>
        </w:rPr>
        <w:t xml:space="preserve">          </w:t>
      </w:r>
      <w:r w:rsidR="00B47780">
        <w:rPr>
          <w:rFonts w:ascii="Tahoma" w:eastAsia="Times New Roman" w:hAnsi="Tahoma" w:cs="Times New Roman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lang w:val="x-none" w:eastAsia="x-none"/>
        </w:rPr>
        <w:t>0,0   значение показателя меньше единицы измерения</w:t>
      </w:r>
      <w:r w:rsidRPr="00404F89">
        <w:rPr>
          <w:rFonts w:ascii="Tahoma" w:eastAsia="Times New Roman" w:hAnsi="Tahoma" w:cs="Times New Roman"/>
          <w:lang w:eastAsia="x-none"/>
        </w:rPr>
        <w:t>;</w:t>
      </w:r>
    </w:p>
    <w:p w:rsidR="00404F89" w:rsidRPr="00404F89" w:rsidRDefault="00404F89" w:rsidP="00404F89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04F89">
        <w:rPr>
          <w:rFonts w:ascii="Tahoma" w:eastAsia="Times New Roman" w:hAnsi="Tahoma" w:cs="Tahoma"/>
          <w:color w:val="000000"/>
          <w:lang w:eastAsia="ru-RU"/>
        </w:rPr>
        <w:t>знак (-) означает убыток;</w:t>
      </w:r>
    </w:p>
    <w:p w:rsidR="00B47780" w:rsidRDefault="00404F89" w:rsidP="00B47780">
      <w:pPr>
        <w:spacing w:after="0" w:line="240" w:lineRule="auto"/>
        <w:ind w:firstLine="709"/>
        <w:rPr>
          <w:rFonts w:ascii="Tahoma" w:eastAsia="Times New Roman" w:hAnsi="Tahoma" w:cs="Tahoma"/>
          <w:lang w:eastAsia="ru-RU"/>
        </w:rPr>
      </w:pPr>
      <w:r w:rsidRPr="00404F89">
        <w:rPr>
          <w:rFonts w:ascii="Tahoma" w:eastAsia="Times New Roman" w:hAnsi="Tahoma" w:cs="Tahoma"/>
          <w:color w:val="000000"/>
          <w:lang w:eastAsia="ru-RU"/>
        </w:rPr>
        <w:t xml:space="preserve">темпы рассчитаны </w:t>
      </w:r>
      <w:r w:rsidRPr="00404F89">
        <w:rPr>
          <w:rFonts w:ascii="Tahoma" w:eastAsia="Times New Roman" w:hAnsi="Tahoma" w:cs="Tahoma"/>
          <w:lang w:eastAsia="ru-RU"/>
        </w:rPr>
        <w:t>по сопоставимому кругу организаций; прочерк означает, что в одном или в обоих из сопоставляемых периодов</w:t>
      </w:r>
    </w:p>
    <w:p w:rsidR="00404F89" w:rsidRPr="00404F89" w:rsidRDefault="00404F89" w:rsidP="00B47780">
      <w:pPr>
        <w:spacing w:after="0" w:line="240" w:lineRule="auto"/>
        <w:ind w:firstLine="709"/>
        <w:rPr>
          <w:rFonts w:ascii="Tahoma" w:eastAsia="Times New Roman" w:hAnsi="Tahoma" w:cs="Tahoma"/>
          <w:lang w:eastAsia="ru-RU"/>
        </w:rPr>
      </w:pPr>
      <w:r w:rsidRPr="00404F89">
        <w:rPr>
          <w:rFonts w:ascii="Tahoma" w:eastAsia="Times New Roman" w:hAnsi="Tahoma" w:cs="Tahoma"/>
          <w:lang w:eastAsia="ru-RU"/>
        </w:rPr>
        <w:t>был получен отрицательный сальдированный финансовый результат.</w:t>
      </w:r>
    </w:p>
    <w:p w:rsidR="00404F89" w:rsidRPr="00404F89" w:rsidRDefault="00404F89" w:rsidP="00404F89">
      <w:pPr>
        <w:tabs>
          <w:tab w:val="right" w:leader="dot" w:pos="6350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Cs w:val="20"/>
          <w:lang w:val="x-none" w:eastAsia="x-none"/>
        </w:rPr>
      </w:pPr>
      <w:r w:rsidRPr="00404F89">
        <w:rPr>
          <w:rFonts w:ascii="Tahoma" w:eastAsia="Times New Roman" w:hAnsi="Tahoma" w:cs="Tahoma"/>
          <w:szCs w:val="20"/>
          <w:lang w:val="x-none" w:eastAsia="x-none"/>
        </w:rPr>
        <w:t>В отдельных случаях незначительные расхождения между итогом и суммой слагаемых объясняются округлением данных.</w:t>
      </w:r>
    </w:p>
    <w:p w:rsidR="00404F89" w:rsidRPr="00404F89" w:rsidRDefault="00404F89" w:rsidP="00404F89">
      <w:pPr>
        <w:spacing w:after="0" w:line="240" w:lineRule="auto"/>
        <w:ind w:firstLine="709"/>
        <w:rPr>
          <w:rFonts w:ascii="Tahoma" w:eastAsia="Times New Roman" w:hAnsi="Tahoma" w:cs="Times New Roman"/>
          <w:sz w:val="20"/>
          <w:szCs w:val="20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3F1185" w:rsidRDefault="003F1185" w:rsidP="00404F89">
      <w:pPr>
        <w:tabs>
          <w:tab w:val="right" w:leader="dot" w:pos="6350"/>
        </w:tabs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lang w:eastAsia="x-none"/>
        </w:rPr>
      </w:pPr>
    </w:p>
    <w:p w:rsidR="00157FEB" w:rsidRDefault="00157FEB" w:rsidP="00404F89">
      <w:pPr>
        <w:tabs>
          <w:tab w:val="right" w:leader="dot" w:pos="6350"/>
        </w:tabs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lang w:eastAsia="x-none"/>
        </w:rPr>
      </w:pPr>
    </w:p>
    <w:p w:rsidR="00157FEB" w:rsidRDefault="00157FEB" w:rsidP="00404F89">
      <w:pPr>
        <w:tabs>
          <w:tab w:val="right" w:leader="dot" w:pos="6350"/>
        </w:tabs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lang w:eastAsia="x-none"/>
        </w:rPr>
      </w:pPr>
    </w:p>
    <w:p w:rsidR="00157FEB" w:rsidRDefault="00157FEB" w:rsidP="00404F89">
      <w:pPr>
        <w:tabs>
          <w:tab w:val="right" w:leader="dot" w:pos="6350"/>
        </w:tabs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lang w:eastAsia="x-none"/>
        </w:rPr>
      </w:pPr>
    </w:p>
    <w:p w:rsidR="00404F89" w:rsidRPr="00404F89" w:rsidRDefault="00404F89" w:rsidP="00404F89">
      <w:pPr>
        <w:spacing w:after="0" w:line="216" w:lineRule="auto"/>
        <w:jc w:val="center"/>
        <w:rPr>
          <w:rFonts w:ascii="Tahoma" w:eastAsia="Times New Roman" w:hAnsi="Tahoma" w:cs="Tahoma"/>
          <w:b/>
          <w:lang w:eastAsia="x-none"/>
        </w:rPr>
      </w:pPr>
      <w:r w:rsidRPr="00404F89">
        <w:rPr>
          <w:rFonts w:ascii="Tahoma" w:eastAsia="Times New Roman" w:hAnsi="Tahoma" w:cs="Tahoma"/>
          <w:b/>
          <w:lang w:eastAsia="x-none"/>
        </w:rPr>
        <w:t>Отдельные финансовые показатели деятельности организаций по видам экономической деятельности</w:t>
      </w:r>
    </w:p>
    <w:p w:rsidR="00404F89" w:rsidRPr="00404F89" w:rsidRDefault="00404F89" w:rsidP="00404F89">
      <w:pPr>
        <w:tabs>
          <w:tab w:val="right" w:leader="dot" w:pos="6350"/>
        </w:tabs>
        <w:spacing w:after="0" w:line="223" w:lineRule="auto"/>
        <w:jc w:val="center"/>
        <w:rPr>
          <w:rFonts w:ascii="Tahoma" w:eastAsia="Times New Roman" w:hAnsi="Tahoma" w:cs="Tahoma"/>
          <w:sz w:val="12"/>
          <w:szCs w:val="20"/>
          <w:lang w:eastAsia="x-none"/>
        </w:rPr>
      </w:pP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2"/>
        <w:gridCol w:w="1415"/>
        <w:gridCol w:w="1221"/>
        <w:gridCol w:w="1415"/>
        <w:gridCol w:w="1232"/>
        <w:gridCol w:w="1221"/>
        <w:gridCol w:w="1415"/>
        <w:gridCol w:w="1232"/>
        <w:gridCol w:w="1168"/>
        <w:gridCol w:w="1843"/>
        <w:gridCol w:w="821"/>
      </w:tblGrid>
      <w:tr w:rsidR="00404F89" w:rsidRPr="00427BEC" w:rsidTr="009A7C6B">
        <w:trPr>
          <w:jc w:val="center"/>
        </w:trPr>
        <w:tc>
          <w:tcPr>
            <w:tcW w:w="14855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04F89" w:rsidRPr="00427BEC" w:rsidRDefault="00404F89" w:rsidP="00EA2F3E">
            <w:pPr>
              <w:spacing w:before="40" w:after="0"/>
              <w:contextualSpacing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(на конец года, </w:t>
            </w:r>
            <w:r w:rsidRPr="00427B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тысяч рублей)</w:t>
            </w:r>
          </w:p>
        </w:tc>
      </w:tr>
      <w:tr w:rsidR="00404F89" w:rsidRPr="00427BEC" w:rsidTr="0066757A">
        <w:trPr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237DC9">
            <w:pPr>
              <w:spacing w:before="40" w:after="0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EE6847">
            <w:pPr>
              <w:spacing w:before="40"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Количество организаций, единиц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EE6847">
            <w:pPr>
              <w:spacing w:before="40"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Прибыль, убыток (-) до налого-обложения</w:t>
            </w:r>
          </w:p>
        </w:tc>
        <w:tc>
          <w:tcPr>
            <w:tcW w:w="3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EE6847">
            <w:pPr>
              <w:spacing w:before="40"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Организации, получившие прибыль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EE6847">
            <w:pPr>
              <w:spacing w:before="40"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Организации, получившие убыток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757A" w:rsidRDefault="00404F89" w:rsidP="00EE6847">
            <w:pPr>
              <w:spacing w:before="40"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Прибыль, </w:t>
            </w: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 xml:space="preserve">убыток (-) до налогообложения </w:t>
            </w:r>
          </w:p>
          <w:p w:rsidR="00404F89" w:rsidRPr="00427BEC" w:rsidRDefault="00404F89" w:rsidP="00EE6847">
            <w:pPr>
              <w:spacing w:before="40"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за аналогичный период </w:t>
            </w: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предыдущего года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7A" w:rsidRDefault="00404F89" w:rsidP="00EE6847">
            <w:pPr>
              <w:spacing w:before="40"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Темп роста прибыли  </w:t>
            </w:r>
          </w:p>
          <w:p w:rsidR="00404F89" w:rsidRPr="00427BEC" w:rsidRDefault="00404F89" w:rsidP="00EE6847">
            <w:pPr>
              <w:spacing w:before="40"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 в %</w:t>
            </w:r>
          </w:p>
        </w:tc>
      </w:tr>
      <w:tr w:rsidR="00404F89" w:rsidRPr="00427BEC" w:rsidTr="0066757A">
        <w:trPr>
          <w:jc w:val="center"/>
        </w:trPr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89" w:rsidRPr="00427BEC" w:rsidRDefault="00404F89" w:rsidP="00EA2F3E">
            <w:pPr>
              <w:spacing w:before="40" w:after="0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89" w:rsidRPr="00427BEC" w:rsidRDefault="00404F89" w:rsidP="00EE6847">
            <w:pPr>
              <w:spacing w:before="40"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89" w:rsidRPr="00427BEC" w:rsidRDefault="00404F89" w:rsidP="00EE6847">
            <w:pPr>
              <w:spacing w:before="40"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EE6847">
            <w:pPr>
              <w:spacing w:before="40"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количество организаций, единиц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EE6847">
            <w:pPr>
              <w:spacing w:before="40"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 % к</w:t>
            </w: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общему количеству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EE6847">
            <w:pPr>
              <w:spacing w:before="40"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прибыль до налого-обложения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EE6847">
            <w:pPr>
              <w:spacing w:before="40"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количество организаций, единиц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EE6847">
            <w:pPr>
              <w:spacing w:before="40"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 % к</w:t>
            </w: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общему количеству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EE6847">
            <w:pPr>
              <w:spacing w:before="40"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убыток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auto"/>
            </w:tcBorders>
            <w:hideMark/>
          </w:tcPr>
          <w:p w:rsidR="00404F89" w:rsidRPr="00427BEC" w:rsidRDefault="00404F89" w:rsidP="00EE6847">
            <w:pPr>
              <w:spacing w:before="40"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89" w:rsidRPr="00427BEC" w:rsidRDefault="00404F89" w:rsidP="00EE6847">
            <w:pPr>
              <w:spacing w:before="40"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12E44" w:rsidRPr="00427BEC" w:rsidTr="0066757A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44" w:rsidRPr="00427BEC" w:rsidRDefault="00612E44" w:rsidP="00EA2F3E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Бежаницкий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E44" w:rsidRPr="000F65BA" w:rsidRDefault="00612E44" w:rsidP="000F65B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F65BA">
              <w:rPr>
                <w:rFonts w:ascii="Tahoma" w:hAnsi="Tahoma" w:cs="Tahoma"/>
                <w:sz w:val="18"/>
                <w:szCs w:val="18"/>
              </w:rPr>
              <w:t>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E44" w:rsidRPr="000F65BA" w:rsidRDefault="00612E44" w:rsidP="000F65B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F65BA">
              <w:rPr>
                <w:rFonts w:ascii="Tahoma" w:hAnsi="Tahoma" w:cs="Tahoma"/>
                <w:sz w:val="18"/>
                <w:szCs w:val="18"/>
              </w:rPr>
              <w:t>18984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E44" w:rsidRPr="000F65BA" w:rsidRDefault="00612E44" w:rsidP="000F65B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F65BA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E44" w:rsidRPr="000F65BA" w:rsidRDefault="00612E44" w:rsidP="000F65B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F65BA">
              <w:rPr>
                <w:rFonts w:ascii="Tahoma" w:hAnsi="Tahoma" w:cs="Tahoma"/>
                <w:sz w:val="18"/>
                <w:szCs w:val="18"/>
              </w:rPr>
              <w:t>56</w:t>
            </w:r>
            <w:r w:rsidR="00CC09AB">
              <w:rPr>
                <w:rFonts w:ascii="Tahoma" w:hAnsi="Tahoma" w:cs="Tahoma"/>
                <w:sz w:val="18"/>
                <w:szCs w:val="18"/>
              </w:rPr>
              <w:t>,</w:t>
            </w:r>
            <w:r w:rsidRPr="000F65BA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E44" w:rsidRPr="000F65BA" w:rsidRDefault="00612E44" w:rsidP="000F65B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F65BA">
              <w:rPr>
                <w:rFonts w:ascii="Tahoma" w:hAnsi="Tahoma" w:cs="Tahoma"/>
                <w:sz w:val="18"/>
                <w:szCs w:val="18"/>
              </w:rPr>
              <w:t>51773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E44" w:rsidRPr="000F65BA" w:rsidRDefault="00612E44" w:rsidP="000F65B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F65BA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E44" w:rsidRPr="000F65BA" w:rsidRDefault="00612E44" w:rsidP="000F65B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F65BA">
              <w:rPr>
                <w:rFonts w:ascii="Tahoma" w:hAnsi="Tahoma" w:cs="Tahoma"/>
                <w:sz w:val="18"/>
                <w:szCs w:val="18"/>
              </w:rPr>
              <w:t>43</w:t>
            </w:r>
            <w:r w:rsidR="00CC09AB">
              <w:rPr>
                <w:rFonts w:ascii="Tahoma" w:hAnsi="Tahoma" w:cs="Tahoma"/>
                <w:sz w:val="18"/>
                <w:szCs w:val="18"/>
              </w:rPr>
              <w:t>,</w:t>
            </w:r>
            <w:r w:rsidRPr="000F65BA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E44" w:rsidRPr="000F65BA" w:rsidRDefault="00612E44" w:rsidP="000F65B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F65BA">
              <w:rPr>
                <w:rFonts w:ascii="Tahoma" w:hAnsi="Tahoma" w:cs="Tahoma"/>
                <w:sz w:val="18"/>
                <w:szCs w:val="18"/>
              </w:rPr>
              <w:t>32789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E44" w:rsidRPr="000F65BA" w:rsidRDefault="00612E44" w:rsidP="000F65B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F65BA">
              <w:rPr>
                <w:rFonts w:ascii="Tahoma" w:hAnsi="Tahoma" w:cs="Tahoma"/>
                <w:sz w:val="18"/>
                <w:szCs w:val="18"/>
              </w:rPr>
              <w:t>28294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E44" w:rsidRPr="000F65BA" w:rsidRDefault="00612E44" w:rsidP="000F65B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F65BA">
              <w:rPr>
                <w:rFonts w:ascii="Tahoma" w:hAnsi="Tahoma" w:cs="Tahoma"/>
                <w:sz w:val="18"/>
                <w:szCs w:val="18"/>
              </w:rPr>
              <w:t>67</w:t>
            </w:r>
            <w:r w:rsidR="00CC09AB">
              <w:rPr>
                <w:rFonts w:ascii="Tahoma" w:hAnsi="Tahoma" w:cs="Tahoma"/>
                <w:sz w:val="18"/>
                <w:szCs w:val="18"/>
              </w:rPr>
              <w:t>,</w:t>
            </w:r>
            <w:r w:rsidRPr="000F65BA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</w:tbl>
    <w:p w:rsidR="003422B8" w:rsidRDefault="003422B8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</w:p>
    <w:p w:rsidR="003422B8" w:rsidRDefault="003422B8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lang w:val="x-none" w:eastAsia="x-none"/>
        </w:rPr>
      </w:pPr>
      <w:r w:rsidRPr="00404F89">
        <w:rPr>
          <w:rFonts w:ascii="Tahoma" w:eastAsia="Times New Roman" w:hAnsi="Tahoma" w:cs="Times New Roman" w:hint="eastAsia"/>
          <w:b/>
          <w:lang w:val="x-none" w:eastAsia="x-none"/>
        </w:rPr>
        <w:t>Баланс</w:t>
      </w:r>
      <w:r w:rsidRPr="00404F89">
        <w:rPr>
          <w:rFonts w:ascii="Tahoma" w:eastAsia="Times New Roman" w:hAnsi="Tahoma" w:cs="Times New Roman"/>
          <w:b/>
          <w:lang w:val="x-none"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val="x-none" w:eastAsia="x-none"/>
        </w:rPr>
        <w:t>организаций</w:t>
      </w:r>
      <w:r w:rsidRPr="00404F89">
        <w:rPr>
          <w:rFonts w:ascii="Tahoma" w:eastAsia="Times New Roman" w:hAnsi="Tahoma" w:cs="Times New Roman"/>
          <w:b/>
          <w:lang w:val="x-none" w:eastAsia="x-none"/>
        </w:rPr>
        <w:t xml:space="preserve"> </w:t>
      </w: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9"/>
        <w:gridCol w:w="2756"/>
        <w:gridCol w:w="2756"/>
        <w:gridCol w:w="2756"/>
        <w:gridCol w:w="2758"/>
      </w:tblGrid>
      <w:tr w:rsidR="00404F89" w:rsidRPr="00EA2F3E" w:rsidTr="008C6221">
        <w:trPr>
          <w:trHeight w:val="312"/>
          <w:jc w:val="center"/>
        </w:trPr>
        <w:tc>
          <w:tcPr>
            <w:tcW w:w="148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F89" w:rsidRPr="00EA2F3E" w:rsidRDefault="00404F89" w:rsidP="00EA2F3E">
            <w:pPr>
              <w:spacing w:after="60" w:line="240" w:lineRule="auto"/>
              <w:contextualSpacing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2F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(на конец года, тысяч рублей)</w:t>
            </w:r>
          </w:p>
        </w:tc>
      </w:tr>
      <w:tr w:rsidR="00404F89" w:rsidRPr="00EA2F3E" w:rsidTr="00237DC9">
        <w:trPr>
          <w:trHeight w:val="358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F89" w:rsidRPr="00EA2F3E" w:rsidRDefault="00404F89" w:rsidP="00237DC9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A2F3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F89" w:rsidRPr="00EA2F3E" w:rsidRDefault="00404F89" w:rsidP="00237DC9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A2F3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Валюта </w:t>
            </w:r>
            <w:r w:rsidR="00B47780" w:rsidRPr="00EA2F3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EA2F3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баланса</w:t>
            </w: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F89" w:rsidRPr="00EA2F3E" w:rsidRDefault="00404F89" w:rsidP="00237DC9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A2F3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Внеоборотные активы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F89" w:rsidRPr="00EA2F3E" w:rsidRDefault="00404F89" w:rsidP="00237DC9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A2F3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Оборотные</w:t>
            </w:r>
            <w:r w:rsidR="00B47780" w:rsidRPr="00EA2F3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EA2F3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активы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F89" w:rsidRPr="00EA2F3E" w:rsidRDefault="00404F89" w:rsidP="00237DC9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A2F3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Капитал и</w:t>
            </w:r>
            <w:r w:rsidR="00B47780" w:rsidRPr="00EA2F3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EA2F3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резервы</w:t>
            </w:r>
          </w:p>
        </w:tc>
      </w:tr>
      <w:tr w:rsidR="00AA3A93" w:rsidRPr="00EA2F3E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A93" w:rsidRPr="00EA2F3E" w:rsidRDefault="00AA3A93" w:rsidP="00EA2F3E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A2F3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Бежаницкий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A93" w:rsidRPr="000F65BA" w:rsidRDefault="00AA3A93" w:rsidP="000F65BA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F65BA">
              <w:rPr>
                <w:rFonts w:ascii="Tahoma" w:hAnsi="Tahoma" w:cs="Tahoma"/>
                <w:sz w:val="18"/>
                <w:szCs w:val="18"/>
              </w:rPr>
              <w:t>5270471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A93" w:rsidRPr="000F65BA" w:rsidRDefault="00AA3A93" w:rsidP="000F65BA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F65BA">
              <w:rPr>
                <w:rFonts w:ascii="Tahoma" w:hAnsi="Tahoma" w:cs="Tahoma"/>
                <w:sz w:val="18"/>
                <w:szCs w:val="18"/>
              </w:rPr>
              <w:t>2485078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A93" w:rsidRPr="000F65BA" w:rsidRDefault="00AA3A93" w:rsidP="000F65BA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F65BA">
              <w:rPr>
                <w:rFonts w:ascii="Tahoma" w:hAnsi="Tahoma" w:cs="Tahoma"/>
                <w:sz w:val="18"/>
                <w:szCs w:val="18"/>
              </w:rPr>
              <w:t>2785393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A93" w:rsidRPr="000F65BA" w:rsidRDefault="00AA3A93" w:rsidP="000F65BA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F65BA">
              <w:rPr>
                <w:rFonts w:ascii="Tahoma" w:hAnsi="Tahoma" w:cs="Tahoma"/>
                <w:sz w:val="18"/>
                <w:szCs w:val="18"/>
              </w:rPr>
              <w:t>1714105</w:t>
            </w:r>
          </w:p>
        </w:tc>
      </w:tr>
    </w:tbl>
    <w:p w:rsidR="00237DC9" w:rsidRDefault="00237DC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lang w:eastAsia="x-none"/>
        </w:rPr>
      </w:pPr>
      <w:r w:rsidRPr="00404F89">
        <w:rPr>
          <w:rFonts w:ascii="Tahoma" w:eastAsia="Times New Roman" w:hAnsi="Tahoma" w:cs="Times New Roman" w:hint="eastAsia"/>
          <w:b/>
          <w:lang w:eastAsia="x-none"/>
        </w:rPr>
        <w:t>Внеоборотные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активы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организаций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b/>
          <w:lang w:eastAsia="x-none"/>
        </w:rPr>
        <w:br/>
      </w: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2693"/>
        <w:gridCol w:w="5669"/>
        <w:gridCol w:w="3374"/>
      </w:tblGrid>
      <w:tr w:rsidR="00404F89" w:rsidRPr="00515FB1" w:rsidTr="00B47780">
        <w:trPr>
          <w:jc w:val="center"/>
        </w:trPr>
        <w:tc>
          <w:tcPr>
            <w:tcW w:w="14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89" w:rsidRPr="00515FB1" w:rsidRDefault="00404F89" w:rsidP="00E8251E">
            <w:pPr>
              <w:spacing w:after="60" w:line="240" w:lineRule="auto"/>
              <w:contextualSpacing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(на конец года, тысяч рублей)</w:t>
            </w:r>
          </w:p>
        </w:tc>
      </w:tr>
      <w:tr w:rsidR="00404F89" w:rsidRPr="00515FB1" w:rsidTr="00237DC9">
        <w:trPr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F89" w:rsidRPr="00515FB1" w:rsidRDefault="00404F89" w:rsidP="00237DC9">
            <w:pPr>
              <w:spacing w:before="60" w:after="6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237DC9">
            <w:pPr>
              <w:spacing w:before="60" w:after="6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Внеоборотные активы</w:t>
            </w:r>
          </w:p>
        </w:tc>
        <w:tc>
          <w:tcPr>
            <w:tcW w:w="9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E8251E">
            <w:pPr>
              <w:spacing w:before="60" w:after="6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 том числе:</w:t>
            </w:r>
          </w:p>
        </w:tc>
      </w:tr>
      <w:tr w:rsidR="00404F89" w:rsidRPr="00515FB1" w:rsidTr="00B47780">
        <w:trPr>
          <w:trHeight w:val="667"/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04F89" w:rsidRPr="00515FB1" w:rsidRDefault="00404F89" w:rsidP="00E8251E">
            <w:pPr>
              <w:spacing w:before="60" w:after="6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F89" w:rsidRPr="00515FB1" w:rsidRDefault="00404F89" w:rsidP="00E8251E">
            <w:pPr>
              <w:spacing w:before="60" w:after="60" w:line="240" w:lineRule="auto"/>
              <w:contextualSpacing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F89" w:rsidRPr="00515FB1" w:rsidRDefault="00404F89" w:rsidP="00E8251E">
            <w:pPr>
              <w:spacing w:before="60" w:after="6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материальные внеоборотные активы (включая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основные средства, незавершенные капитальные вложения в основные средства)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F89" w:rsidRPr="00515FB1" w:rsidRDefault="00404F89" w:rsidP="00E8251E">
            <w:pPr>
              <w:spacing w:before="60" w:after="6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нематериальные, финансовые и другие внеоборотные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активы</w:t>
            </w:r>
          </w:p>
        </w:tc>
      </w:tr>
      <w:tr w:rsidR="00AA3A93" w:rsidRPr="00515FB1" w:rsidTr="00E8251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A93" w:rsidRPr="00515FB1" w:rsidRDefault="00AA3A93" w:rsidP="00E8251E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Бежаницкий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3A93" w:rsidRPr="000F65BA" w:rsidRDefault="00AA3A93" w:rsidP="000F65BA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F65BA">
              <w:rPr>
                <w:rFonts w:ascii="Tahoma" w:hAnsi="Tahoma" w:cs="Tahoma"/>
                <w:sz w:val="18"/>
                <w:szCs w:val="18"/>
              </w:rPr>
              <w:t>2485078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3A93" w:rsidRPr="000F65BA" w:rsidRDefault="00AA3A93" w:rsidP="000F65BA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F65BA">
              <w:rPr>
                <w:rFonts w:ascii="Tahoma" w:hAnsi="Tahoma" w:cs="Tahoma"/>
                <w:sz w:val="18"/>
                <w:szCs w:val="18"/>
              </w:rPr>
              <w:t>2366727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A93" w:rsidRPr="000F65BA" w:rsidRDefault="00AA3A93" w:rsidP="000F65BA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F65BA">
              <w:rPr>
                <w:rFonts w:ascii="Tahoma" w:hAnsi="Tahoma" w:cs="Tahoma"/>
                <w:sz w:val="18"/>
                <w:szCs w:val="18"/>
              </w:rPr>
              <w:t>118351</w:t>
            </w:r>
          </w:p>
        </w:tc>
      </w:tr>
    </w:tbl>
    <w:p w:rsidR="00E8251E" w:rsidRDefault="00E8251E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b/>
          <w:bCs/>
          <w:lang w:eastAsia="x-none"/>
        </w:rPr>
      </w:pPr>
    </w:p>
    <w:p w:rsidR="00245779" w:rsidRDefault="0024577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b/>
          <w:bCs/>
          <w:lang w:eastAsia="x-none"/>
        </w:rPr>
      </w:pPr>
    </w:p>
    <w:p w:rsidR="00404F89" w:rsidRPr="00404F89" w:rsidRDefault="00515FB1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sz w:val="12"/>
          <w:lang w:eastAsia="x-none"/>
        </w:rPr>
      </w:pPr>
      <w:r>
        <w:rPr>
          <w:rFonts w:ascii="Tahoma" w:eastAsia="Times New Roman" w:hAnsi="Tahoma" w:cs="Tahoma"/>
          <w:b/>
          <w:bCs/>
          <w:lang w:eastAsia="x-none"/>
        </w:rPr>
        <w:t>О</w:t>
      </w:r>
      <w:r w:rsidR="00404F89" w:rsidRPr="00404F89">
        <w:rPr>
          <w:rFonts w:ascii="Tahoma" w:eastAsia="Times New Roman" w:hAnsi="Tahoma" w:cs="Tahoma"/>
          <w:b/>
          <w:bCs/>
          <w:lang w:val="x-none" w:eastAsia="x-none"/>
        </w:rPr>
        <w:t xml:space="preserve">боротные активы организаций </w:t>
      </w: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9"/>
        <w:gridCol w:w="2250"/>
        <w:gridCol w:w="1742"/>
        <w:gridCol w:w="2977"/>
        <w:gridCol w:w="4507"/>
      </w:tblGrid>
      <w:tr w:rsidR="00404F89" w:rsidRPr="002234D4" w:rsidTr="00B47780">
        <w:trPr>
          <w:trHeight w:val="252"/>
          <w:jc w:val="center"/>
        </w:trPr>
        <w:tc>
          <w:tcPr>
            <w:tcW w:w="14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F89" w:rsidRPr="002234D4" w:rsidRDefault="00404F89" w:rsidP="002234D4">
            <w:pPr>
              <w:spacing w:before="60" w:after="60" w:line="240" w:lineRule="auto"/>
              <w:contextualSpacing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34D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(на конец года, </w:t>
            </w:r>
            <w:r w:rsidRPr="002234D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тысяч рублей)</w:t>
            </w:r>
          </w:p>
        </w:tc>
      </w:tr>
      <w:tr w:rsidR="00404F89" w:rsidRPr="002234D4" w:rsidTr="00B47780">
        <w:trPr>
          <w:trHeight w:val="218"/>
          <w:jc w:val="center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2234D4" w:rsidRDefault="00404F89" w:rsidP="00237DC9">
            <w:pPr>
              <w:spacing w:before="40" w:after="4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2234D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2234D4" w:rsidRDefault="00404F89" w:rsidP="002234D4">
            <w:pPr>
              <w:spacing w:before="40" w:after="4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2234D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Оборотные активы</w:t>
            </w:r>
          </w:p>
        </w:tc>
        <w:tc>
          <w:tcPr>
            <w:tcW w:w="9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4F89" w:rsidRPr="002234D4" w:rsidRDefault="00404F89" w:rsidP="002234D4">
            <w:pPr>
              <w:spacing w:before="40" w:after="4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2234D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 том числе :</w:t>
            </w:r>
          </w:p>
        </w:tc>
      </w:tr>
      <w:tr w:rsidR="00404F89" w:rsidRPr="002234D4" w:rsidTr="00B47780">
        <w:trPr>
          <w:trHeight w:val="300"/>
          <w:jc w:val="center"/>
        </w:trPr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4F89" w:rsidRPr="002234D4" w:rsidRDefault="00404F89" w:rsidP="002234D4">
            <w:pPr>
              <w:spacing w:before="40" w:after="4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89" w:rsidRPr="002234D4" w:rsidRDefault="00404F89" w:rsidP="002234D4">
            <w:pPr>
              <w:spacing w:before="40" w:after="4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2234D4" w:rsidRDefault="00404F89" w:rsidP="002234D4">
            <w:pPr>
              <w:spacing w:before="40" w:after="4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2234D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запасы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2234D4" w:rsidRDefault="00404F89" w:rsidP="002234D4">
            <w:pPr>
              <w:spacing w:before="40" w:after="4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2234D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денежные средства и </w:t>
            </w:r>
            <w:r w:rsidRPr="002234D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денежные эквиваленты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F89" w:rsidRPr="002234D4" w:rsidRDefault="00404F89" w:rsidP="002234D4">
            <w:pPr>
              <w:spacing w:before="40" w:after="4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2234D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финансовые и другие оборотные активы (включая дебиторскую задолженность)</w:t>
            </w:r>
          </w:p>
        </w:tc>
      </w:tr>
      <w:tr w:rsidR="00990E72" w:rsidRPr="002234D4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E72" w:rsidRPr="002234D4" w:rsidRDefault="00990E72" w:rsidP="002234D4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34D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Бежаницкий 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E72" w:rsidRPr="00245779" w:rsidRDefault="00990E72" w:rsidP="00245779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45779">
              <w:rPr>
                <w:rFonts w:ascii="Tahoma" w:hAnsi="Tahoma" w:cs="Tahoma"/>
                <w:sz w:val="18"/>
                <w:szCs w:val="18"/>
              </w:rPr>
              <w:t>2785393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0E72" w:rsidRPr="00245779" w:rsidRDefault="00990E72" w:rsidP="00245779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45779">
              <w:rPr>
                <w:rFonts w:ascii="Tahoma" w:hAnsi="Tahoma" w:cs="Tahoma"/>
                <w:sz w:val="18"/>
                <w:szCs w:val="18"/>
              </w:rPr>
              <w:t>1115064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0E72" w:rsidRPr="00245779" w:rsidRDefault="00990E72" w:rsidP="00245779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45779">
              <w:rPr>
                <w:rFonts w:ascii="Tahoma" w:hAnsi="Tahoma" w:cs="Tahoma"/>
                <w:sz w:val="18"/>
                <w:szCs w:val="18"/>
              </w:rPr>
              <w:t>46825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E72" w:rsidRPr="00245779" w:rsidRDefault="00990E72" w:rsidP="00245779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45779">
              <w:rPr>
                <w:rFonts w:ascii="Tahoma" w:hAnsi="Tahoma" w:cs="Tahoma"/>
                <w:sz w:val="18"/>
                <w:szCs w:val="18"/>
              </w:rPr>
              <w:t>1623504</w:t>
            </w:r>
          </w:p>
        </w:tc>
      </w:tr>
    </w:tbl>
    <w:p w:rsidR="00596FED" w:rsidRDefault="00596FED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</w:p>
    <w:p w:rsid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  <w:r w:rsidRPr="00404F89">
        <w:rPr>
          <w:rFonts w:ascii="Tahoma" w:eastAsia="Times New Roman" w:hAnsi="Tahoma" w:cs="Times New Roman" w:hint="eastAsia"/>
          <w:b/>
          <w:lang w:eastAsia="x-none"/>
        </w:rPr>
        <w:t>Оборачиваемость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оборотных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активов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организаций</w:t>
      </w:r>
    </w:p>
    <w:p w:rsidR="00157FEB" w:rsidRPr="00404F89" w:rsidRDefault="00157FEB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szCs w:val="20"/>
          <w:lang w:eastAsia="x-none"/>
        </w:rPr>
      </w:pP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2126"/>
        <w:gridCol w:w="1985"/>
        <w:gridCol w:w="3118"/>
        <w:gridCol w:w="4649"/>
      </w:tblGrid>
      <w:tr w:rsidR="00404F89" w:rsidRPr="00923F76" w:rsidTr="00B47780">
        <w:trPr>
          <w:jc w:val="center"/>
        </w:trPr>
        <w:tc>
          <w:tcPr>
            <w:tcW w:w="14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F89" w:rsidRPr="00923F76" w:rsidRDefault="00404F89" w:rsidP="00923F76">
            <w:pPr>
              <w:spacing w:before="60" w:after="60"/>
              <w:contextualSpacing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3F7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(в днях)</w:t>
            </w:r>
          </w:p>
        </w:tc>
      </w:tr>
      <w:tr w:rsidR="00404F89" w:rsidRPr="00923F76" w:rsidTr="00492BF4">
        <w:trPr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F89" w:rsidRPr="00923F76" w:rsidRDefault="00404F89" w:rsidP="00923F76">
            <w:pPr>
              <w:spacing w:before="60" w:after="60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23F7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923F76" w:rsidRDefault="00404F89" w:rsidP="00923F76">
            <w:pPr>
              <w:spacing w:before="60" w:after="60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23F7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Оборотные </w:t>
            </w:r>
            <w:r w:rsidRPr="00923F7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активы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923F76" w:rsidRDefault="00404F89" w:rsidP="00923F76">
            <w:pPr>
              <w:spacing w:before="60" w:after="60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23F7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Запасы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923F76" w:rsidRDefault="00404F89" w:rsidP="00923F76">
            <w:pPr>
              <w:spacing w:before="60" w:after="60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23F7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Краткосрочная </w:t>
            </w:r>
            <w:r w:rsidRPr="00923F7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 xml:space="preserve">кредиторская </w:t>
            </w:r>
            <w:r w:rsidRPr="00923F7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задолженность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923F76" w:rsidRDefault="00404F89" w:rsidP="00923F76">
            <w:pPr>
              <w:spacing w:before="60" w:after="60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23F7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Финансовые и другие активы </w:t>
            </w:r>
            <w:r w:rsidRPr="00923F7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 xml:space="preserve">(дебиторская, НДС по приобретенным ценностям, краткосрочные финансовые </w:t>
            </w:r>
            <w:r w:rsidRPr="00923F7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вложения)</w:t>
            </w:r>
          </w:p>
        </w:tc>
      </w:tr>
      <w:tr w:rsidR="00404F89" w:rsidRPr="00923F76" w:rsidTr="00B47780">
        <w:trPr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F89" w:rsidRPr="00923F76" w:rsidRDefault="00404F89" w:rsidP="00923F76">
            <w:pPr>
              <w:spacing w:before="60" w:after="60"/>
              <w:contextualSpacing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923F76" w:rsidRDefault="00404F89" w:rsidP="00923F76">
            <w:pPr>
              <w:spacing w:before="60" w:after="60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23F7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длительность 1 оборота</w:t>
            </w:r>
          </w:p>
        </w:tc>
        <w:tc>
          <w:tcPr>
            <w:tcW w:w="7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923F76" w:rsidRDefault="00404F89" w:rsidP="00923F76">
            <w:pPr>
              <w:spacing w:before="60" w:after="60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23F7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средний срок погашения</w:t>
            </w:r>
          </w:p>
        </w:tc>
      </w:tr>
      <w:tr w:rsidR="00990E72" w:rsidRPr="00923F76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E72" w:rsidRPr="00923F76" w:rsidRDefault="00990E72" w:rsidP="00923F76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23F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Бежаницкий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E72" w:rsidRPr="00245779" w:rsidRDefault="00990E72" w:rsidP="00245779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45779">
              <w:rPr>
                <w:rFonts w:ascii="Tahoma" w:hAnsi="Tahoma" w:cs="Tahoma"/>
                <w:sz w:val="18"/>
                <w:szCs w:val="18"/>
              </w:rPr>
              <w:t>2785393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E72" w:rsidRPr="00245779" w:rsidRDefault="00990E72" w:rsidP="00245779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45779">
              <w:rPr>
                <w:rFonts w:ascii="Tahoma" w:hAnsi="Tahoma" w:cs="Tahoma"/>
                <w:sz w:val="18"/>
                <w:szCs w:val="18"/>
              </w:rPr>
              <w:t>1115064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E72" w:rsidRPr="00245779" w:rsidRDefault="00990E72" w:rsidP="00245779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45779">
              <w:rPr>
                <w:rFonts w:ascii="Tahoma" w:hAnsi="Tahoma" w:cs="Tahoma"/>
                <w:sz w:val="18"/>
                <w:szCs w:val="18"/>
              </w:rPr>
              <w:t>46825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E72" w:rsidRPr="00245779" w:rsidRDefault="00990E72" w:rsidP="00245779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45779">
              <w:rPr>
                <w:rFonts w:ascii="Tahoma" w:hAnsi="Tahoma" w:cs="Tahoma"/>
                <w:sz w:val="18"/>
                <w:szCs w:val="18"/>
              </w:rPr>
              <w:t>1623504</w:t>
            </w:r>
          </w:p>
        </w:tc>
      </w:tr>
    </w:tbl>
    <w:p w:rsidR="00515FB1" w:rsidRDefault="00515FB1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b/>
          <w:szCs w:val="20"/>
          <w:lang w:eastAsia="x-none"/>
        </w:rPr>
      </w:pPr>
    </w:p>
    <w:p w:rsidR="00923F76" w:rsidRDefault="00923F76" w:rsidP="00AA030D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ahoma"/>
          <w:b/>
          <w:szCs w:val="20"/>
          <w:lang w:eastAsia="x-none"/>
        </w:rPr>
      </w:pPr>
    </w:p>
    <w:p w:rsid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b/>
          <w:szCs w:val="20"/>
          <w:lang w:eastAsia="x-none"/>
        </w:rPr>
      </w:pPr>
      <w:r w:rsidRPr="00404F89">
        <w:rPr>
          <w:rFonts w:ascii="Tahoma" w:eastAsia="Times New Roman" w:hAnsi="Tahoma" w:cs="Tahoma"/>
          <w:b/>
          <w:szCs w:val="20"/>
          <w:lang w:eastAsia="x-none"/>
        </w:rPr>
        <w:t>Долгосрочные обязательства организаций</w:t>
      </w:r>
    </w:p>
    <w:p w:rsidR="00157FEB" w:rsidRPr="00404F89" w:rsidRDefault="00157FEB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szCs w:val="20"/>
          <w:lang w:eastAsia="x-none"/>
        </w:rPr>
      </w:pP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20"/>
        <w:gridCol w:w="5910"/>
        <w:gridCol w:w="5625"/>
      </w:tblGrid>
      <w:tr w:rsidR="00404F89" w:rsidRPr="00226003" w:rsidTr="005D187E">
        <w:trPr>
          <w:jc w:val="center"/>
        </w:trPr>
        <w:tc>
          <w:tcPr>
            <w:tcW w:w="14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F89" w:rsidRPr="00226003" w:rsidRDefault="00404F89" w:rsidP="00226003">
            <w:pPr>
              <w:spacing w:before="60" w:after="60" w:line="30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2260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(на конец года, </w:t>
            </w:r>
            <w:r w:rsidRPr="002260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тысяч рублей)</w:t>
            </w:r>
          </w:p>
        </w:tc>
      </w:tr>
      <w:tr w:rsidR="00404F89" w:rsidRPr="00226003" w:rsidTr="00EE6847">
        <w:trPr>
          <w:trHeight w:val="545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226003" w:rsidRDefault="00EE6847" w:rsidP="00EE6847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226003" w:rsidRDefault="00404F89" w:rsidP="00EE6847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22600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Займы и кредиты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F89" w:rsidRPr="00226003" w:rsidRDefault="00404F89" w:rsidP="00EE6847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22600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Другие долгосрочные обязательства</w:t>
            </w:r>
          </w:p>
        </w:tc>
      </w:tr>
      <w:tr w:rsidR="00445DFA" w:rsidRPr="00226003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FA" w:rsidRPr="00226003" w:rsidRDefault="00445DFA" w:rsidP="00226003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260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Бежаницкий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5DFA" w:rsidRPr="00245779" w:rsidRDefault="00445DFA" w:rsidP="00245779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45779">
              <w:rPr>
                <w:rFonts w:ascii="Tahoma" w:hAnsi="Tahoma" w:cs="Tahoma"/>
                <w:sz w:val="18"/>
                <w:szCs w:val="18"/>
              </w:rPr>
              <w:t>2175841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5DFA" w:rsidRPr="00245779" w:rsidRDefault="00445DFA" w:rsidP="00245779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45779">
              <w:rPr>
                <w:rFonts w:ascii="Tahoma" w:hAnsi="Tahoma" w:cs="Tahoma"/>
                <w:sz w:val="18"/>
                <w:szCs w:val="18"/>
              </w:rPr>
              <w:t>870900</w:t>
            </w:r>
          </w:p>
        </w:tc>
      </w:tr>
    </w:tbl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5D187E" w:rsidRDefault="005D187E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515FB1" w:rsidRDefault="00515FB1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b/>
          <w:lang w:eastAsia="x-none"/>
        </w:rPr>
      </w:pPr>
      <w:r w:rsidRPr="00404F89">
        <w:rPr>
          <w:rFonts w:ascii="Tahoma" w:eastAsia="Times New Roman" w:hAnsi="Tahoma" w:cs="Tahoma"/>
          <w:b/>
          <w:lang w:eastAsia="x-none"/>
        </w:rPr>
        <w:t>Краткосрочные обязательства организаций</w:t>
      </w: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sz w:val="16"/>
          <w:szCs w:val="20"/>
          <w:lang w:eastAsia="x-none"/>
        </w:rPr>
      </w:pP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3"/>
        <w:gridCol w:w="2812"/>
        <w:gridCol w:w="4166"/>
        <w:gridCol w:w="4274"/>
      </w:tblGrid>
      <w:tr w:rsidR="00404F89" w:rsidRPr="001345C8" w:rsidTr="001345C8">
        <w:trPr>
          <w:jc w:val="center"/>
        </w:trPr>
        <w:tc>
          <w:tcPr>
            <w:tcW w:w="14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F89" w:rsidRPr="001345C8" w:rsidRDefault="00404F89" w:rsidP="001345C8">
            <w:pPr>
              <w:spacing w:before="60" w:after="60" w:line="288" w:lineRule="auto"/>
              <w:contextualSpacing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45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(на конец года, </w:t>
            </w:r>
            <w:r w:rsidRPr="001345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тысяч рублей)</w:t>
            </w:r>
          </w:p>
        </w:tc>
      </w:tr>
      <w:tr w:rsidR="00404F89" w:rsidRPr="001345C8" w:rsidTr="00157FEB">
        <w:trPr>
          <w:jc w:val="center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1345C8" w:rsidRDefault="00404F89" w:rsidP="00157FEB">
            <w:pPr>
              <w:spacing w:before="60" w:after="60" w:line="288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1345C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1345C8" w:rsidRDefault="00404F89" w:rsidP="00157FEB">
            <w:pPr>
              <w:spacing w:before="60" w:after="60" w:line="288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1345C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Займы и</w:t>
            </w:r>
            <w:r w:rsidRPr="001345C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кредиты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1345C8" w:rsidRDefault="00404F89" w:rsidP="00157FEB">
            <w:pPr>
              <w:spacing w:before="60" w:after="60" w:line="288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1345C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Кредиторская</w:t>
            </w:r>
            <w:r w:rsidRPr="001345C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 xml:space="preserve"> задолженность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89" w:rsidRPr="001345C8" w:rsidRDefault="00404F89" w:rsidP="00F55535">
            <w:pPr>
              <w:spacing w:before="60" w:after="60" w:line="288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1345C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Другие </w:t>
            </w:r>
            <w:r w:rsidR="00F5553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краткосрочные</w:t>
            </w:r>
            <w:r w:rsidRPr="001345C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обязательства</w:t>
            </w:r>
          </w:p>
        </w:tc>
      </w:tr>
      <w:tr w:rsidR="00261EB7" w:rsidRPr="001345C8" w:rsidTr="001345C8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B7" w:rsidRPr="001345C8" w:rsidRDefault="00261EB7" w:rsidP="001345C8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345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Бежаницкий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1EB7" w:rsidRPr="00245779" w:rsidRDefault="00261EB7" w:rsidP="00245779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45779">
              <w:rPr>
                <w:rFonts w:ascii="Tahoma" w:hAnsi="Tahoma" w:cs="Tahoma"/>
                <w:sz w:val="18"/>
                <w:szCs w:val="18"/>
              </w:rPr>
              <w:t>38399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1EB7" w:rsidRPr="00245779" w:rsidRDefault="00261EB7" w:rsidP="00245779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45779">
              <w:rPr>
                <w:rFonts w:ascii="Tahoma" w:hAnsi="Tahoma" w:cs="Tahoma"/>
                <w:sz w:val="18"/>
                <w:szCs w:val="18"/>
              </w:rPr>
              <w:t>468793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1EB7" w:rsidRPr="00245779" w:rsidRDefault="00261EB7" w:rsidP="00245779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45779">
              <w:rPr>
                <w:rFonts w:ascii="Tahoma" w:hAnsi="Tahoma" w:cs="Tahoma"/>
                <w:sz w:val="18"/>
                <w:szCs w:val="18"/>
              </w:rPr>
              <w:t>2433</w:t>
            </w:r>
          </w:p>
        </w:tc>
      </w:tr>
    </w:tbl>
    <w:p w:rsidR="003A4675" w:rsidRDefault="003A4675" w:rsidP="00404F89">
      <w:pPr>
        <w:spacing w:after="60" w:line="216" w:lineRule="auto"/>
        <w:jc w:val="center"/>
        <w:rPr>
          <w:rFonts w:ascii="Tahoma" w:eastAsia="Times New Roman" w:hAnsi="Tahoma" w:cs="Tahoma"/>
          <w:b/>
          <w:color w:val="000000"/>
          <w:szCs w:val="20"/>
          <w:lang w:eastAsia="ru-RU"/>
        </w:rPr>
      </w:pPr>
    </w:p>
    <w:p w:rsidR="001345C8" w:rsidRDefault="001345C8" w:rsidP="00404F89">
      <w:pPr>
        <w:spacing w:after="60" w:line="216" w:lineRule="auto"/>
        <w:jc w:val="center"/>
        <w:rPr>
          <w:rFonts w:ascii="Tahoma" w:eastAsia="Times New Roman" w:hAnsi="Tahoma" w:cs="Tahoma"/>
          <w:b/>
          <w:color w:val="000000"/>
          <w:szCs w:val="20"/>
          <w:lang w:eastAsia="ru-RU"/>
        </w:rPr>
      </w:pPr>
    </w:p>
    <w:p w:rsidR="00404F89" w:rsidRPr="00404F89" w:rsidRDefault="00404F89" w:rsidP="00404F89">
      <w:pPr>
        <w:spacing w:after="60" w:line="216" w:lineRule="auto"/>
        <w:jc w:val="center"/>
        <w:rPr>
          <w:rFonts w:ascii="Tahoma" w:eastAsia="Times New Roman" w:hAnsi="Tahoma" w:cs="Tahoma"/>
          <w:b/>
          <w:color w:val="000000"/>
          <w:szCs w:val="20"/>
          <w:lang w:eastAsia="ru-RU"/>
        </w:rPr>
      </w:pPr>
      <w:r w:rsidRPr="00404F89">
        <w:rPr>
          <w:rFonts w:ascii="Tahoma" w:eastAsia="Times New Roman" w:hAnsi="Tahoma" w:cs="Tahoma"/>
          <w:b/>
          <w:color w:val="000000"/>
          <w:szCs w:val="20"/>
          <w:lang w:eastAsia="ru-RU"/>
        </w:rPr>
        <w:t>Формирование финансовых результатов</w:t>
      </w:r>
    </w:p>
    <w:p w:rsidR="00404F89" w:rsidRPr="00404F89" w:rsidRDefault="00404F89" w:rsidP="00404F89">
      <w:pPr>
        <w:spacing w:after="0" w:line="216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</w:p>
    <w:tbl>
      <w:tblPr>
        <w:tblW w:w="14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1612"/>
        <w:gridCol w:w="1760"/>
        <w:gridCol w:w="1613"/>
        <w:gridCol w:w="1356"/>
        <w:gridCol w:w="1496"/>
        <w:gridCol w:w="1676"/>
        <w:gridCol w:w="1496"/>
      </w:tblGrid>
      <w:tr w:rsidR="00404F89" w:rsidRPr="00BE1CA0" w:rsidTr="00C6787E">
        <w:trPr>
          <w:jc w:val="center"/>
        </w:trPr>
        <w:tc>
          <w:tcPr>
            <w:tcW w:w="148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F89" w:rsidRPr="00BE1CA0" w:rsidRDefault="00404F89" w:rsidP="00BE1CA0">
            <w:pPr>
              <w:spacing w:after="60" w:line="288" w:lineRule="auto"/>
              <w:contextualSpacing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1C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(на конец года,</w:t>
            </w:r>
            <w:r w:rsidRPr="00BE1C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BE1CA0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тысяч рублей)</w:t>
            </w:r>
          </w:p>
        </w:tc>
      </w:tr>
      <w:tr w:rsidR="00404F89" w:rsidRPr="00BE1CA0" w:rsidTr="000B1940">
        <w:trPr>
          <w:jc w:val="center"/>
        </w:trPr>
        <w:tc>
          <w:tcPr>
            <w:tcW w:w="38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BE1CA0" w:rsidRDefault="00404F89" w:rsidP="00F55535">
            <w:pPr>
              <w:spacing w:after="0" w:line="288" w:lineRule="auto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BE1CA0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49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BE1CA0" w:rsidRDefault="00404F89" w:rsidP="00BE1CA0">
            <w:pPr>
              <w:spacing w:after="0" w:line="288" w:lineRule="auto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BE1CA0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Доходы и расходы </w:t>
            </w:r>
            <w:r w:rsidRPr="00BE1CA0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br/>
              <w:t>по обычным видам деятельности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04F89" w:rsidRPr="00BE1CA0" w:rsidRDefault="00404F89" w:rsidP="000B1940">
            <w:pPr>
              <w:spacing w:after="0" w:line="288" w:lineRule="auto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BE1CA0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Сальдо прочих доходов и расходов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04F89" w:rsidRPr="00BE1CA0" w:rsidRDefault="00404F89" w:rsidP="000B1940">
            <w:pPr>
              <w:spacing w:after="0" w:line="288" w:lineRule="auto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BE1CA0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Прибыль (убыток) до налого-обложения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04F89" w:rsidRPr="00BE1CA0" w:rsidRDefault="00404F89" w:rsidP="000B1940">
            <w:pPr>
              <w:spacing w:after="0" w:line="288" w:lineRule="auto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BE1CA0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Налог на прибыль (доходы) с учетом прочих платежей (поступлений)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04F89" w:rsidRPr="00BE1CA0" w:rsidRDefault="00404F89" w:rsidP="000B1940">
            <w:pPr>
              <w:spacing w:after="0" w:line="288" w:lineRule="auto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BE1CA0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Чистая </w:t>
            </w:r>
            <w:r w:rsidRPr="00BE1CA0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br/>
              <w:t>прибыль (убыток ) отчетного периода</w:t>
            </w:r>
          </w:p>
        </w:tc>
      </w:tr>
      <w:tr w:rsidR="00C6787E" w:rsidRPr="00BE1CA0" w:rsidTr="000B1940">
        <w:trPr>
          <w:trHeight w:val="290"/>
          <w:jc w:val="center"/>
        </w:trPr>
        <w:tc>
          <w:tcPr>
            <w:tcW w:w="3846" w:type="dxa"/>
            <w:vMerge/>
            <w:vAlign w:val="center"/>
            <w:hideMark/>
          </w:tcPr>
          <w:p w:rsidR="00C6787E" w:rsidRPr="00BE1CA0" w:rsidRDefault="00C6787E" w:rsidP="00BE1CA0">
            <w:pPr>
              <w:spacing w:after="0" w:line="288" w:lineRule="auto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12" w:type="dxa"/>
            <w:vMerge w:val="restart"/>
            <w:shd w:val="clear" w:color="auto" w:fill="auto"/>
            <w:hideMark/>
          </w:tcPr>
          <w:p w:rsidR="00C6787E" w:rsidRPr="00BE1CA0" w:rsidRDefault="00C6787E" w:rsidP="000B1940">
            <w:pPr>
              <w:spacing w:after="0" w:line="288" w:lineRule="auto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BE1CA0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Выручка</w:t>
            </w:r>
          </w:p>
        </w:tc>
        <w:tc>
          <w:tcPr>
            <w:tcW w:w="1760" w:type="dxa"/>
            <w:vMerge w:val="restart"/>
            <w:shd w:val="clear" w:color="auto" w:fill="auto"/>
            <w:vAlign w:val="bottom"/>
            <w:hideMark/>
          </w:tcPr>
          <w:p w:rsidR="00C6787E" w:rsidRPr="00BE1CA0" w:rsidRDefault="003F1185" w:rsidP="003F1185">
            <w:pPr>
              <w:spacing w:after="0" w:line="288" w:lineRule="auto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Себестоимость с учетом коммерческих и управленческих расходов</w:t>
            </w:r>
          </w:p>
        </w:tc>
        <w:tc>
          <w:tcPr>
            <w:tcW w:w="1613" w:type="dxa"/>
            <w:vMerge w:val="restart"/>
            <w:shd w:val="clear" w:color="auto" w:fill="auto"/>
            <w:vAlign w:val="bottom"/>
            <w:hideMark/>
          </w:tcPr>
          <w:p w:rsidR="000B1940" w:rsidRDefault="003F1185" w:rsidP="000B1940">
            <w:pPr>
              <w:spacing w:after="0" w:line="288" w:lineRule="auto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Прибыль, убыток (-)</w:t>
            </w:r>
            <w:r w:rsidR="000B1940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о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т</w:t>
            </w:r>
          </w:p>
          <w:p w:rsidR="00C6787E" w:rsidRDefault="003F1185" w:rsidP="000B1940">
            <w:pPr>
              <w:spacing w:after="0" w:line="288" w:lineRule="auto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продаж</w:t>
            </w:r>
          </w:p>
          <w:p w:rsidR="003F1185" w:rsidRDefault="003F1185" w:rsidP="000B1940">
            <w:pPr>
              <w:spacing w:after="0" w:line="288" w:lineRule="auto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  <w:p w:rsidR="003F1185" w:rsidRPr="00BE1CA0" w:rsidRDefault="003F1185" w:rsidP="000B1940">
            <w:pPr>
              <w:spacing w:after="0" w:line="288" w:lineRule="auto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vAlign w:val="bottom"/>
            <w:hideMark/>
          </w:tcPr>
          <w:p w:rsidR="00C6787E" w:rsidRPr="00BE1CA0" w:rsidRDefault="00C6787E" w:rsidP="00BE1CA0">
            <w:pPr>
              <w:spacing w:after="0" w:line="288" w:lineRule="auto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vAlign w:val="bottom"/>
            <w:hideMark/>
          </w:tcPr>
          <w:p w:rsidR="00C6787E" w:rsidRPr="00BE1CA0" w:rsidRDefault="00C6787E" w:rsidP="00BE1CA0">
            <w:pPr>
              <w:spacing w:after="0" w:line="288" w:lineRule="auto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76" w:type="dxa"/>
            <w:vMerge/>
            <w:vAlign w:val="bottom"/>
            <w:hideMark/>
          </w:tcPr>
          <w:p w:rsidR="00C6787E" w:rsidRPr="00BE1CA0" w:rsidRDefault="00C6787E" w:rsidP="00BE1CA0">
            <w:pPr>
              <w:spacing w:after="0" w:line="288" w:lineRule="auto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vAlign w:val="bottom"/>
            <w:hideMark/>
          </w:tcPr>
          <w:p w:rsidR="00C6787E" w:rsidRPr="00BE1CA0" w:rsidRDefault="00C6787E" w:rsidP="00BE1CA0">
            <w:pPr>
              <w:spacing w:after="0" w:line="288" w:lineRule="auto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</w:tr>
      <w:tr w:rsidR="00C6787E" w:rsidRPr="00BE1CA0" w:rsidTr="00C6787E">
        <w:trPr>
          <w:trHeight w:val="290"/>
          <w:jc w:val="center"/>
        </w:trPr>
        <w:tc>
          <w:tcPr>
            <w:tcW w:w="3846" w:type="dxa"/>
            <w:vMerge/>
            <w:vAlign w:val="center"/>
            <w:hideMark/>
          </w:tcPr>
          <w:p w:rsidR="00C6787E" w:rsidRPr="00BE1CA0" w:rsidRDefault="00C6787E" w:rsidP="00BE1CA0">
            <w:pPr>
              <w:spacing w:after="0" w:line="288" w:lineRule="auto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C6787E" w:rsidRPr="00BE1CA0" w:rsidRDefault="00C6787E" w:rsidP="00BE1CA0">
            <w:pPr>
              <w:spacing w:after="0" w:line="288" w:lineRule="auto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vMerge/>
            <w:vAlign w:val="bottom"/>
            <w:hideMark/>
          </w:tcPr>
          <w:p w:rsidR="00C6787E" w:rsidRPr="00BE1CA0" w:rsidRDefault="00C6787E" w:rsidP="00BE1CA0">
            <w:pPr>
              <w:spacing w:after="0" w:line="288" w:lineRule="auto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vMerge/>
            <w:vAlign w:val="bottom"/>
            <w:hideMark/>
          </w:tcPr>
          <w:p w:rsidR="00C6787E" w:rsidRPr="00BE1CA0" w:rsidRDefault="00C6787E" w:rsidP="00BE1CA0">
            <w:pPr>
              <w:spacing w:after="0" w:line="288" w:lineRule="auto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vAlign w:val="bottom"/>
            <w:hideMark/>
          </w:tcPr>
          <w:p w:rsidR="00C6787E" w:rsidRPr="00BE1CA0" w:rsidRDefault="00C6787E" w:rsidP="00BE1CA0">
            <w:pPr>
              <w:spacing w:after="0" w:line="288" w:lineRule="auto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vAlign w:val="bottom"/>
            <w:hideMark/>
          </w:tcPr>
          <w:p w:rsidR="00C6787E" w:rsidRPr="00BE1CA0" w:rsidRDefault="00C6787E" w:rsidP="00BE1CA0">
            <w:pPr>
              <w:spacing w:after="0" w:line="288" w:lineRule="auto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76" w:type="dxa"/>
            <w:vMerge/>
            <w:vAlign w:val="bottom"/>
            <w:hideMark/>
          </w:tcPr>
          <w:p w:rsidR="00C6787E" w:rsidRPr="00BE1CA0" w:rsidRDefault="00C6787E" w:rsidP="00BE1CA0">
            <w:pPr>
              <w:spacing w:after="0" w:line="288" w:lineRule="auto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vAlign w:val="bottom"/>
            <w:hideMark/>
          </w:tcPr>
          <w:p w:rsidR="00C6787E" w:rsidRPr="00BE1CA0" w:rsidRDefault="00C6787E" w:rsidP="00BE1CA0">
            <w:pPr>
              <w:spacing w:after="0" w:line="288" w:lineRule="auto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</w:tr>
      <w:tr w:rsidR="00261EB7" w:rsidRPr="00BE1CA0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261EB7" w:rsidRPr="00BE1CA0" w:rsidRDefault="00261EB7" w:rsidP="00BE1CA0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E1C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Бежаницкий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261EB7" w:rsidRPr="00245779" w:rsidRDefault="00261EB7" w:rsidP="00245779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45779">
              <w:rPr>
                <w:rFonts w:ascii="Tahoma" w:hAnsi="Tahoma" w:cs="Tahoma"/>
                <w:sz w:val="18"/>
                <w:szCs w:val="18"/>
              </w:rPr>
              <w:t>2260160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261EB7" w:rsidRPr="00245779" w:rsidRDefault="00261EB7" w:rsidP="00245779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45779">
              <w:rPr>
                <w:rFonts w:ascii="Tahoma" w:hAnsi="Tahoma" w:cs="Tahoma"/>
                <w:sz w:val="18"/>
                <w:szCs w:val="18"/>
              </w:rPr>
              <w:t>2166441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261EB7" w:rsidRPr="00245779" w:rsidRDefault="00261EB7" w:rsidP="00245779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45779">
              <w:rPr>
                <w:rFonts w:ascii="Tahoma" w:hAnsi="Tahoma" w:cs="Tahoma"/>
                <w:sz w:val="18"/>
                <w:szCs w:val="18"/>
              </w:rPr>
              <w:t>93719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61EB7" w:rsidRPr="00245779" w:rsidRDefault="00261EB7" w:rsidP="00245779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45779">
              <w:rPr>
                <w:rFonts w:ascii="Tahoma" w:hAnsi="Tahoma" w:cs="Tahoma"/>
                <w:sz w:val="18"/>
                <w:szCs w:val="18"/>
              </w:rPr>
              <w:t>-74735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261EB7" w:rsidRPr="00245779" w:rsidRDefault="00261EB7" w:rsidP="00245779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45779">
              <w:rPr>
                <w:rFonts w:ascii="Tahoma" w:hAnsi="Tahoma" w:cs="Tahoma"/>
                <w:sz w:val="18"/>
                <w:szCs w:val="18"/>
              </w:rPr>
              <w:t>18984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61EB7" w:rsidRPr="00245779" w:rsidRDefault="00261EB7" w:rsidP="00245779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45779">
              <w:rPr>
                <w:rFonts w:ascii="Tahoma" w:hAnsi="Tahoma" w:cs="Tahoma"/>
                <w:sz w:val="18"/>
                <w:szCs w:val="18"/>
              </w:rPr>
              <w:t>10119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261EB7" w:rsidRPr="00245779" w:rsidRDefault="00261EB7" w:rsidP="00245779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45779">
              <w:rPr>
                <w:rFonts w:ascii="Tahoma" w:hAnsi="Tahoma" w:cs="Tahoma"/>
                <w:sz w:val="18"/>
                <w:szCs w:val="18"/>
              </w:rPr>
              <w:t>8865</w:t>
            </w:r>
          </w:p>
        </w:tc>
      </w:tr>
    </w:tbl>
    <w:p w:rsidR="00437FAE" w:rsidRDefault="00437FAE" w:rsidP="00AA030D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</w:p>
    <w:p w:rsidR="00404F89" w:rsidRPr="00404F89" w:rsidRDefault="00404F89" w:rsidP="00AA030D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  <w:r w:rsidRPr="00404F89">
        <w:rPr>
          <w:rFonts w:ascii="Tahoma" w:eastAsia="Times New Roman" w:hAnsi="Tahoma" w:cs="Times New Roman" w:hint="eastAsia"/>
          <w:b/>
          <w:lang w:eastAsia="x-none"/>
        </w:rPr>
        <w:t>Финансовая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устойчивость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и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платежеспособность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организаций</w:t>
      </w: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7"/>
        <w:gridCol w:w="4227"/>
        <w:gridCol w:w="3769"/>
        <w:gridCol w:w="3442"/>
      </w:tblGrid>
      <w:tr w:rsidR="00404F89" w:rsidRPr="006753A6" w:rsidTr="00B47780">
        <w:trPr>
          <w:jc w:val="center"/>
        </w:trPr>
        <w:tc>
          <w:tcPr>
            <w:tcW w:w="14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89" w:rsidRPr="006753A6" w:rsidRDefault="00404F89" w:rsidP="006753A6">
            <w:pPr>
              <w:spacing w:before="60" w:after="60" w:line="288" w:lineRule="auto"/>
              <w:contextualSpacing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753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(в процентах )</w:t>
            </w:r>
          </w:p>
        </w:tc>
      </w:tr>
      <w:tr w:rsidR="00404F89" w:rsidRPr="006753A6" w:rsidTr="00492BF4">
        <w:trPr>
          <w:trHeight w:val="1392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6753A6" w:rsidRDefault="00404F89" w:rsidP="006753A6">
            <w:pPr>
              <w:spacing w:before="60" w:after="60" w:line="288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6753A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6753A6" w:rsidRDefault="00404F89" w:rsidP="006753A6">
            <w:pPr>
              <w:spacing w:before="60" w:after="60" w:line="288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6753A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Коэффициент автономии</w:t>
            </w:r>
            <w:r w:rsidRPr="006753A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(доля собственных средств</w:t>
            </w:r>
            <w:r w:rsidRPr="006753A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в валюте баланса)</w:t>
            </w:r>
            <w:r w:rsidRPr="006753A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</w:r>
            <w:r w:rsidRPr="006753A6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 xml:space="preserve">(нормальное ограничение </w:t>
            </w:r>
            <w:r w:rsidRPr="006753A6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br/>
              <w:t>больше либо равно 50%)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6753A6" w:rsidRDefault="00404F89" w:rsidP="006753A6">
            <w:pPr>
              <w:spacing w:before="60" w:after="60" w:line="288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6753A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Коэффициент обеспеченности</w:t>
            </w:r>
            <w:r w:rsidRPr="006753A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собственными оборотными</w:t>
            </w:r>
            <w:r w:rsidRPr="006753A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средствами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4F89" w:rsidRPr="006753A6" w:rsidRDefault="00404F89" w:rsidP="0072229A">
            <w:pPr>
              <w:spacing w:before="60" w:after="60" w:line="288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6753A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Коэффициент текущей</w:t>
            </w:r>
            <w:r w:rsidRPr="006753A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ликвидности (покрытия)</w:t>
            </w:r>
            <w:r w:rsidRPr="006753A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</w:r>
            <w:r w:rsidRPr="006753A6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 xml:space="preserve">(нормальное </w:t>
            </w:r>
            <w:r w:rsidRPr="006753A6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br/>
              <w:t>ограничение 200%)</w:t>
            </w:r>
          </w:p>
        </w:tc>
      </w:tr>
      <w:tr w:rsidR="000F65BA" w:rsidRPr="006753A6" w:rsidTr="00EE6847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5BA" w:rsidRPr="006753A6" w:rsidRDefault="000F65BA" w:rsidP="006753A6">
            <w:pPr>
              <w:spacing w:before="4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753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Бежаницкий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65BA" w:rsidRPr="00245779" w:rsidRDefault="000F65BA" w:rsidP="00245779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45779">
              <w:rPr>
                <w:rFonts w:ascii="Tahoma" w:hAnsi="Tahoma" w:cs="Tahoma"/>
                <w:sz w:val="18"/>
                <w:szCs w:val="18"/>
              </w:rPr>
              <w:t>32</w:t>
            </w:r>
            <w:r w:rsidR="00CC09AB">
              <w:rPr>
                <w:rFonts w:ascii="Tahoma" w:hAnsi="Tahoma" w:cs="Tahoma"/>
                <w:sz w:val="18"/>
                <w:szCs w:val="18"/>
              </w:rPr>
              <w:t>,</w:t>
            </w:r>
            <w:r w:rsidRPr="00245779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65BA" w:rsidRPr="00245779" w:rsidRDefault="000F65BA" w:rsidP="00245779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45779">
              <w:rPr>
                <w:rFonts w:ascii="Tahoma" w:hAnsi="Tahoma" w:cs="Tahoma"/>
                <w:sz w:val="18"/>
                <w:szCs w:val="18"/>
              </w:rPr>
              <w:t>-27</w:t>
            </w:r>
            <w:r w:rsidR="00CC09AB">
              <w:rPr>
                <w:rFonts w:ascii="Tahoma" w:hAnsi="Tahoma" w:cs="Tahoma"/>
                <w:sz w:val="18"/>
                <w:szCs w:val="18"/>
              </w:rPr>
              <w:t>,</w:t>
            </w:r>
            <w:r w:rsidRPr="00245779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65BA" w:rsidRPr="00245779" w:rsidRDefault="000F65BA" w:rsidP="00245779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45779">
              <w:rPr>
                <w:rFonts w:ascii="Tahoma" w:hAnsi="Tahoma" w:cs="Tahoma"/>
                <w:sz w:val="18"/>
                <w:szCs w:val="18"/>
              </w:rPr>
              <w:t>546</w:t>
            </w:r>
            <w:r w:rsidR="00CC09AB">
              <w:rPr>
                <w:rFonts w:ascii="Tahoma" w:hAnsi="Tahoma" w:cs="Tahoma"/>
                <w:sz w:val="18"/>
                <w:szCs w:val="18"/>
              </w:rPr>
              <w:t>,</w:t>
            </w:r>
            <w:r w:rsidRPr="00245779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</w:tbl>
    <w:p w:rsidR="006753A6" w:rsidRDefault="006753A6" w:rsidP="00AA030D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b/>
          <w:lang w:eastAsia="x-none"/>
        </w:rPr>
      </w:pPr>
    </w:p>
    <w:p w:rsidR="00AA030D" w:rsidRDefault="00AA030D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  <w:r w:rsidRPr="00404F89">
        <w:rPr>
          <w:rFonts w:ascii="Tahoma" w:eastAsia="Times New Roman" w:hAnsi="Tahoma" w:cs="Times New Roman" w:hint="eastAsia"/>
          <w:b/>
          <w:lang w:eastAsia="x-none"/>
        </w:rPr>
        <w:t>Рентабельность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проданных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товаров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,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продукции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(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работ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,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услуг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)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и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активов</w:t>
      </w:r>
    </w:p>
    <w:tbl>
      <w:tblPr>
        <w:tblW w:w="14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1"/>
        <w:gridCol w:w="5743"/>
        <w:gridCol w:w="5001"/>
      </w:tblGrid>
      <w:tr w:rsidR="00404F89" w:rsidRPr="006A210D" w:rsidTr="00B47780">
        <w:trPr>
          <w:jc w:val="center"/>
        </w:trPr>
        <w:tc>
          <w:tcPr>
            <w:tcW w:w="14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F89" w:rsidRPr="006A210D" w:rsidRDefault="00404F89" w:rsidP="006A210D">
            <w:pPr>
              <w:spacing w:before="60" w:after="6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6A21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(в процентах)</w:t>
            </w:r>
          </w:p>
        </w:tc>
      </w:tr>
      <w:tr w:rsidR="00404F89" w:rsidRPr="006A210D" w:rsidTr="00B47780">
        <w:trPr>
          <w:trHeight w:val="326"/>
          <w:jc w:val="center"/>
        </w:trPr>
        <w:tc>
          <w:tcPr>
            <w:tcW w:w="41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6A210D" w:rsidRDefault="00404F89" w:rsidP="006A210D">
            <w:pPr>
              <w:spacing w:before="60" w:after="6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6A21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7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6A210D" w:rsidRDefault="00404F89" w:rsidP="006A210D">
            <w:pPr>
              <w:spacing w:before="60" w:after="6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6A21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Рентабельность реализованной продукции</w:t>
            </w:r>
          </w:p>
        </w:tc>
        <w:tc>
          <w:tcPr>
            <w:tcW w:w="50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6A210D" w:rsidRDefault="00404F89" w:rsidP="006A210D">
            <w:pPr>
              <w:spacing w:before="60" w:after="6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6A21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Рентабельность активов</w:t>
            </w:r>
          </w:p>
        </w:tc>
      </w:tr>
      <w:tr w:rsidR="00404F89" w:rsidRPr="006A210D" w:rsidTr="00B47780">
        <w:trPr>
          <w:trHeight w:val="326"/>
          <w:jc w:val="center"/>
        </w:trPr>
        <w:tc>
          <w:tcPr>
            <w:tcW w:w="4111" w:type="dxa"/>
            <w:vMerge/>
            <w:vAlign w:val="center"/>
            <w:hideMark/>
          </w:tcPr>
          <w:p w:rsidR="00404F89" w:rsidRPr="006A210D" w:rsidRDefault="00404F89" w:rsidP="006A210D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43" w:type="dxa"/>
            <w:vMerge/>
            <w:vAlign w:val="center"/>
            <w:hideMark/>
          </w:tcPr>
          <w:p w:rsidR="00404F89" w:rsidRPr="006A210D" w:rsidRDefault="00404F89" w:rsidP="006A210D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01" w:type="dxa"/>
            <w:vMerge/>
            <w:vAlign w:val="center"/>
            <w:hideMark/>
          </w:tcPr>
          <w:p w:rsidR="00404F89" w:rsidRPr="006A210D" w:rsidRDefault="00404F89" w:rsidP="006A210D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F65BA" w:rsidRPr="006A210D" w:rsidTr="00EE6847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F65BA" w:rsidRPr="006A210D" w:rsidRDefault="000F65BA" w:rsidP="006A210D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21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Бежаницкий</w:t>
            </w:r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0F65BA" w:rsidRPr="00245779" w:rsidRDefault="000F65BA" w:rsidP="00245779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45779">
              <w:rPr>
                <w:rFonts w:ascii="Tahoma" w:hAnsi="Tahoma" w:cs="Tahoma"/>
                <w:sz w:val="18"/>
                <w:szCs w:val="18"/>
              </w:rPr>
              <w:t>4</w:t>
            </w:r>
            <w:r w:rsidR="00CC09AB">
              <w:rPr>
                <w:rFonts w:ascii="Tahoma" w:hAnsi="Tahoma" w:cs="Tahoma"/>
                <w:sz w:val="18"/>
                <w:szCs w:val="18"/>
              </w:rPr>
              <w:t>,</w:t>
            </w:r>
            <w:r w:rsidRPr="0024577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0F65BA" w:rsidRPr="00245779" w:rsidRDefault="000F65BA" w:rsidP="00245779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45779">
              <w:rPr>
                <w:rFonts w:ascii="Tahoma" w:hAnsi="Tahoma" w:cs="Tahoma"/>
                <w:sz w:val="18"/>
                <w:szCs w:val="18"/>
              </w:rPr>
              <w:t>0</w:t>
            </w:r>
            <w:r w:rsidR="00CC09AB">
              <w:rPr>
                <w:rFonts w:ascii="Tahoma" w:hAnsi="Tahoma" w:cs="Tahoma"/>
                <w:sz w:val="18"/>
                <w:szCs w:val="18"/>
              </w:rPr>
              <w:t>,</w:t>
            </w:r>
            <w:r w:rsidRPr="00245779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</w:tbl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sz w:val="16"/>
          <w:szCs w:val="20"/>
          <w:lang w:eastAsia="x-none"/>
        </w:rPr>
      </w:pPr>
      <w:bookmarkStart w:id="0" w:name="_GoBack"/>
      <w:bookmarkEnd w:id="0"/>
    </w:p>
    <w:p w:rsid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6A210D" w:rsidRPr="00404F89" w:rsidRDefault="006A210D" w:rsidP="00AA030D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404F89" w:rsidRPr="00AA030D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ahoma"/>
          <w:b/>
          <w:lang w:eastAsia="x-none"/>
        </w:rPr>
      </w:pPr>
      <w:r w:rsidRPr="00404F89">
        <w:rPr>
          <w:rFonts w:ascii="Tahoma" w:eastAsia="Times New Roman" w:hAnsi="Tahoma" w:cs="Tahoma"/>
          <w:b/>
          <w:lang w:eastAsia="x-none"/>
        </w:rPr>
        <w:t xml:space="preserve">Заместитель руководителя                                                                                                                                            </w:t>
      </w:r>
      <w:r w:rsidR="00DA07FF">
        <w:rPr>
          <w:rFonts w:ascii="Tahoma" w:eastAsia="Times New Roman" w:hAnsi="Tahoma" w:cs="Tahoma"/>
          <w:b/>
          <w:lang w:eastAsia="x-none"/>
        </w:rPr>
        <w:t xml:space="preserve">      </w:t>
      </w:r>
      <w:r w:rsidR="00CA07C5">
        <w:rPr>
          <w:rFonts w:ascii="Tahoma" w:eastAsia="Times New Roman" w:hAnsi="Tahoma" w:cs="Tahoma"/>
          <w:b/>
          <w:lang w:eastAsia="x-none"/>
        </w:rPr>
        <w:t xml:space="preserve">    </w:t>
      </w:r>
      <w:r w:rsidR="00DA07FF">
        <w:rPr>
          <w:rFonts w:ascii="Tahoma" w:eastAsia="Times New Roman" w:hAnsi="Tahoma" w:cs="Tahoma"/>
          <w:b/>
          <w:lang w:eastAsia="x-none"/>
        </w:rPr>
        <w:t xml:space="preserve">  </w:t>
      </w:r>
      <w:r w:rsidR="00AA030D">
        <w:rPr>
          <w:rFonts w:ascii="Tahoma" w:eastAsia="Times New Roman" w:hAnsi="Tahoma" w:cs="Tahoma"/>
          <w:b/>
          <w:lang w:eastAsia="x-none"/>
        </w:rPr>
        <w:t xml:space="preserve">        С.Н. Синюк</w:t>
      </w: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  <w:r w:rsidRPr="00404F89">
        <w:rPr>
          <w:rFonts w:ascii="Tahoma" w:eastAsia="Times New Roman" w:hAnsi="Tahoma" w:cs="Times New Roman"/>
          <w:sz w:val="16"/>
          <w:szCs w:val="20"/>
          <w:lang w:eastAsia="x-none"/>
        </w:rPr>
        <w:t xml:space="preserve"> </w:t>
      </w:r>
      <w:r w:rsidR="00B90F93">
        <w:rPr>
          <w:rFonts w:ascii="Tahoma" w:eastAsia="Times New Roman" w:hAnsi="Tahoma" w:cs="Times New Roman"/>
          <w:sz w:val="16"/>
          <w:szCs w:val="20"/>
          <w:lang w:eastAsia="x-none"/>
        </w:rPr>
        <w:t>Е</w:t>
      </w:r>
      <w:r w:rsidR="00CA07C5">
        <w:rPr>
          <w:rFonts w:ascii="Tahoma" w:eastAsia="Times New Roman" w:hAnsi="Tahoma" w:cs="Times New Roman"/>
          <w:sz w:val="16"/>
          <w:szCs w:val="20"/>
          <w:lang w:eastAsia="x-none"/>
        </w:rPr>
        <w:t xml:space="preserve">лена Николаевна </w:t>
      </w:r>
      <w:r w:rsidR="00B90F93">
        <w:rPr>
          <w:rFonts w:ascii="Tahoma" w:eastAsia="Times New Roman" w:hAnsi="Tahoma" w:cs="Times New Roman"/>
          <w:sz w:val="16"/>
          <w:szCs w:val="20"/>
          <w:lang w:eastAsia="x-none"/>
        </w:rPr>
        <w:t>Тарасова</w:t>
      </w:r>
      <w:r w:rsidR="00CA07C5">
        <w:rPr>
          <w:rFonts w:ascii="Tahoma" w:eastAsia="Times New Roman" w:hAnsi="Tahoma" w:cs="Times New Roman"/>
          <w:sz w:val="16"/>
          <w:szCs w:val="20"/>
          <w:lang w:eastAsia="x-none"/>
        </w:rPr>
        <w:t xml:space="preserve">  </w:t>
      </w:r>
      <w:r w:rsidR="008D6B2A">
        <w:rPr>
          <w:rFonts w:ascii="Tahoma" w:eastAsia="Times New Roman" w:hAnsi="Tahoma" w:cs="Times New Roman"/>
          <w:sz w:val="16"/>
          <w:szCs w:val="20"/>
          <w:lang w:eastAsia="x-none"/>
        </w:rPr>
        <w:t>(8</w:t>
      </w:r>
      <w:r w:rsidR="00D3477C">
        <w:rPr>
          <w:rFonts w:ascii="Tahoma" w:eastAsia="Times New Roman" w:hAnsi="Tahoma" w:cs="Times New Roman"/>
          <w:sz w:val="16"/>
          <w:szCs w:val="20"/>
          <w:lang w:eastAsia="x-none"/>
        </w:rPr>
        <w:t>1</w:t>
      </w:r>
      <w:r w:rsidR="008D6B2A">
        <w:rPr>
          <w:rFonts w:ascii="Tahoma" w:eastAsia="Times New Roman" w:hAnsi="Tahoma" w:cs="Times New Roman"/>
          <w:sz w:val="16"/>
          <w:szCs w:val="20"/>
          <w:lang w:eastAsia="x-none"/>
        </w:rPr>
        <w:t>12)</w:t>
      </w:r>
      <w:r w:rsidRPr="00404F89">
        <w:rPr>
          <w:rFonts w:ascii="Tahoma" w:eastAsia="Times New Roman" w:hAnsi="Tahoma" w:cs="Times New Roman"/>
          <w:sz w:val="16"/>
          <w:szCs w:val="20"/>
          <w:lang w:eastAsia="x-none"/>
        </w:rPr>
        <w:t xml:space="preserve"> 790979</w:t>
      </w:r>
    </w:p>
    <w:p w:rsid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  <w:r w:rsidRPr="00404F89">
        <w:rPr>
          <w:rFonts w:ascii="Tahoma" w:eastAsia="Times New Roman" w:hAnsi="Tahoma" w:cs="Times New Roman" w:hint="eastAsia"/>
          <w:sz w:val="16"/>
          <w:szCs w:val="20"/>
          <w:lang w:eastAsia="x-none"/>
        </w:rPr>
        <w:t>Отдел</w:t>
      </w:r>
      <w:r w:rsidRPr="00404F89">
        <w:rPr>
          <w:rFonts w:ascii="Tahoma" w:eastAsia="Times New Roman" w:hAnsi="Tahoma" w:cs="Times New Roman"/>
          <w:sz w:val="16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sz w:val="16"/>
          <w:szCs w:val="20"/>
          <w:lang w:eastAsia="x-none"/>
        </w:rPr>
        <w:t>информационно</w:t>
      </w:r>
      <w:r w:rsidRPr="00404F89">
        <w:rPr>
          <w:rFonts w:ascii="Tahoma" w:eastAsia="Times New Roman" w:hAnsi="Tahoma" w:cs="Times New Roman"/>
          <w:sz w:val="16"/>
          <w:szCs w:val="20"/>
          <w:lang w:eastAsia="x-none"/>
        </w:rPr>
        <w:t>-</w:t>
      </w:r>
      <w:r w:rsidRPr="00404F89">
        <w:rPr>
          <w:rFonts w:ascii="Tahoma" w:eastAsia="Times New Roman" w:hAnsi="Tahoma" w:cs="Times New Roman" w:hint="eastAsia"/>
          <w:sz w:val="16"/>
          <w:szCs w:val="20"/>
          <w:lang w:eastAsia="x-none"/>
        </w:rPr>
        <w:t>статистических</w:t>
      </w:r>
      <w:r w:rsidRPr="00404F89">
        <w:rPr>
          <w:rFonts w:ascii="Tahoma" w:eastAsia="Times New Roman" w:hAnsi="Tahoma" w:cs="Times New Roman"/>
          <w:sz w:val="16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sz w:val="16"/>
          <w:szCs w:val="20"/>
          <w:lang w:eastAsia="x-none"/>
        </w:rPr>
        <w:t>услуг</w:t>
      </w: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  <w:r w:rsidRPr="00404F89">
        <w:rPr>
          <w:rFonts w:ascii="Tahoma" w:eastAsia="Times New Roman" w:hAnsi="Tahoma" w:cs="Times New Roman"/>
          <w:b/>
          <w:lang w:eastAsia="x-none"/>
        </w:rPr>
        <w:t>Методологические пояснения</w:t>
      </w: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Статистика финансов организаций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содержит показатели, отражающие финансовое положение организаций. Сбор данных осуществляется на основе форм государственной статистической и бухгалтерской отчетности.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Сальдированный финансовый результат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 xml:space="preserve">(прибыль (+) убыток (-))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- конечный финансовый результат, выявленный на основании бухгалтерского учета всех хозяйственных операций организаций. Представляет собой сумму сальдированного финансового результата  (прибыль (+)  убыток (-))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от продажи товаров, продукции (работ, услуг), основных средств, иного имущества организаций и прочих доходов, уменьшенных на сумму прочих расходов. 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Рентабельность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 организаций характеризует эффективность их деятельности. 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Рентабельность проданных товаров, продукции (работ, услуг)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рассчитывается как соотношение между величиной сальдированного финансового результата (прибыль минус убыток) от продажи продукции, работ, услуг и себестоимостью проданной продукции, работ, услуг. В том случае, если сальдированный финансовый результат (прибыль минус убыток) от продажи продукции, работ, услуг отрицательный - имеет место убыточность. 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 xml:space="preserve">Рентабельность активов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- соотношение сальдированного финансового результата (прибыль минус убыток) и стоимости активов организаций. В том случае, если сальдированный финансовый результат (прибыль минус убыток) отрицательный - имеет место убыточность.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lastRenderedPageBreak/>
        <w:t>Оборотные активы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организаций - это авансируемая в денежной сумме стоимость, принимающая в процессе кругооборота средств форму оборотных фондов и фондов обращения, необходимая для поддержания непрерывности кругооборота и возвращающаяся в исходную форму после ее завершения. В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оборотные производственные фонды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входят как предметы труда (сырье, основные материалы, топливо, вспомогательные материалы, тара, запасные части) так и средства труда (малоценные и быстроизнашивающиеся предметы). Кроме того, в оборотные фонды включаются незавершенное производство, полуфабрикаты собственного изготовления и расходы будущих периодов. В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фонды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обращения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входят готовая продукция и товары отгруженные, средства в расчетах.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bCs/>
          <w:sz w:val="20"/>
          <w:szCs w:val="20"/>
          <w:lang w:val="x-none" w:eastAsia="x-none"/>
        </w:rPr>
        <w:t>Оборачиваемость оборотных активов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рассчитывается как соотношение средней стоимости оборотных активов и затрат на производство реализованной продукции, умноженной на число дней в периоде.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Финансовая устойчивость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организаций характеризуется состоянием финансовых ресурсов, обеспечивающих бесперебойный расширенный процесс производства и продажи продукции на основе роста прибыли.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Основными показателями финансовой устойчивости организаций являются следующие коэффициенты: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коэффициент автономии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, характеризующий долю собственных средств в общей величине источников средств организаций и определяющий степень независимости от кредиторов;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коэффициент обеспеченности собственными оборотными средствами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, который рассчитывается как отношение собственных оборотных средств к фактической стоимости всех оборотных средств, находящихся в наличии у организаций.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Платежеспособность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характеризует возможности организаций своевременно расплачиваться по своим обязательствам.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Одним из показателей платежеспособности организаций является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коэффициент текущей</w:t>
      </w:r>
      <w:r w:rsidRPr="00404F89">
        <w:rPr>
          <w:rFonts w:ascii="Tahoma" w:eastAsia="Times New Roman" w:hAnsi="Tahoma" w:cs="Times New Roman"/>
          <w:b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ликвидности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,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рассчитываемый как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отношение фактической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стоимости находящихся в наличии у организаций оборотных средств к наиболее срочным обязательствам организации в виде краткосрочных кредитов и займов, кредиторской задолженности.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Финансовые вложения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- долгосрочные и краткосрочные инвестиции организаций в ценные бумаги других организаций, процентные облигации государственных и местных займов, в уставные фонды других организаций, созданных на территории страны, капитал за рубежом, а также предоставленные другим организациям займы.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Суммарная задолженность по обязательствам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организаций включает кредиторскую задолженность, задолженность по кредитам банков и займам.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Кредиторская задолженность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- задолженность по расчетам с поставщиками и подрядчиками за поступившие материальные ценности, выполненные работы, оказанные услуги, в том числе задолженность, обеспеченная векселями выданными; задолженность по расчетам с дочерними и зависимыми обществами по всем видам операций</w:t>
      </w:r>
      <w:r w:rsidR="00CA07C5">
        <w:rPr>
          <w:rFonts w:ascii="Tahoma" w:eastAsia="Times New Roman" w:hAnsi="Tahoma" w:cs="Times New Roman"/>
          <w:sz w:val="20"/>
          <w:szCs w:val="20"/>
          <w:lang w:eastAsia="x-none"/>
        </w:rPr>
        <w:t xml:space="preserve">,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с рабочими и служащими по оплате труда, представляющая собой начисленные, но не выплаченные суммы оплаты труда</w:t>
      </w:r>
      <w:r w:rsidR="00CA07C5">
        <w:rPr>
          <w:rFonts w:ascii="Tahoma" w:eastAsia="Times New Roman" w:hAnsi="Tahoma" w:cs="Times New Roman"/>
          <w:sz w:val="20"/>
          <w:szCs w:val="20"/>
          <w:lang w:eastAsia="x-none"/>
        </w:rPr>
        <w:t>,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задолженность по отчислениям на государственное социальное страхование, пенсионное обеспечение и медицинское страхование работников организации, задолженность по всем видам платежей в бюджет и внебюджетные фонды</w:t>
      </w:r>
      <w:r w:rsidR="00B90F93">
        <w:rPr>
          <w:rFonts w:ascii="Tahoma" w:eastAsia="Times New Roman" w:hAnsi="Tahoma" w:cs="Times New Roman"/>
          <w:sz w:val="20"/>
          <w:szCs w:val="20"/>
          <w:lang w:eastAsia="x-none"/>
        </w:rPr>
        <w:t>,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задолженность организации по платежам по обязательному и добровольному страхованию имущества и работников организации и другим видам страхования, в которых организация является страхователем; авансы полученные, включающие сумму полученных авансов от сторонних организаций по предстоящим расчетам по заключенным договорам, а также штрафы, пени и неустойки, признанные организацией или по которым получены решения суда (арбитражного суда) или другого органа, имеющего в соответствии с законодательством Российской Федерации право на принятие решения об их взыскании отнесенные на финансовые результаты организации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, непогашенные суммы заемных средств, подлежащие погашению в соответствии с договором.  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Дебиторская задолженность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- задолженность по расчетам с покупателя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>-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ми и заказчиками за товары, работы, услуги, в том числе задолженность, обеспеченная векселями полученными</w:t>
      </w:r>
      <w:r w:rsidR="00B90F93">
        <w:rPr>
          <w:rFonts w:ascii="Tahoma" w:eastAsia="Times New Roman" w:hAnsi="Tahoma" w:cs="Times New Roman"/>
          <w:sz w:val="20"/>
          <w:szCs w:val="20"/>
          <w:lang w:eastAsia="x-none"/>
        </w:rPr>
        <w:t>,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задолженность по расчетам с дочерними и зависимыми обществами; сумма  уплаченных другим организациям авансов по предстоящим расчетам в соответствии с заключенными договорами; задолженность по расчетам с прочими дебиторами, включающую в себя задолженность финансовых и налоговых органов (в том числе по переплате по налогам, сборам и прочим платежам в бюджет)</w:t>
      </w:r>
      <w:r w:rsidR="00B90F93">
        <w:rPr>
          <w:rFonts w:ascii="Tahoma" w:eastAsia="Times New Roman" w:hAnsi="Tahoma" w:cs="Times New Roman"/>
          <w:sz w:val="20"/>
          <w:szCs w:val="20"/>
          <w:lang w:eastAsia="x-none"/>
        </w:rPr>
        <w:t>,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задолженность работников организации по предоставленным им ссудам и займам за счет средств этой организации или кредита (ссуды на индивидуальное и кооперативное жилищное строительство, приобретение и благоустройство садовых участков, беспроцентные ссуды молодым семьям на улучшение жилищных условий или обзаведение домашним хозяйством и др.)</w:t>
      </w:r>
      <w:r w:rsidR="00B90F93">
        <w:rPr>
          <w:rFonts w:ascii="Tahoma" w:eastAsia="Times New Roman" w:hAnsi="Tahoma" w:cs="Times New Roman"/>
          <w:sz w:val="20"/>
          <w:szCs w:val="20"/>
          <w:lang w:eastAsia="x-none"/>
        </w:rPr>
        <w:t>,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задолженность подотчетных лиц; поставщиков по недостачам товарно-материальных ценностей, обнаруженным при приемке; задолженность по государственным заказам,  федеральным программам за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поставленные товары, работы, услуги для государственных нужд и по, а также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lastRenderedPageBreak/>
        <w:t>штрафы, пени, неустойки, признанные должником или по которым получены решения суда (арбитражного суда) или другого органа, имеющего в соответствии с законодательством Российской Федерации право на принятие решения об их взыскании, отнесенные на финансовые результаты организации.</w:t>
      </w: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val="x-none" w:eastAsia="x-none"/>
        </w:rPr>
      </w:pPr>
    </w:p>
    <w:p w:rsidR="00005E35" w:rsidRPr="00404F89" w:rsidRDefault="00005E35">
      <w:pPr>
        <w:rPr>
          <w:lang w:val="x-none"/>
        </w:rPr>
      </w:pPr>
    </w:p>
    <w:sectPr w:rsidR="00005E35" w:rsidRPr="00404F89" w:rsidSect="00B47780">
      <w:headerReference w:type="default" r:id="rId8"/>
      <w:footerReference w:type="default" r:id="rId9"/>
      <w:pgSz w:w="16840" w:h="11907" w:orient="landscape" w:code="9"/>
      <w:pgMar w:top="851" w:right="851" w:bottom="851" w:left="1134" w:header="567" w:footer="0" w:gutter="0"/>
      <w:cols w:space="226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24D" w:rsidRDefault="00A0624D">
      <w:pPr>
        <w:spacing w:after="0" w:line="240" w:lineRule="auto"/>
      </w:pPr>
      <w:r>
        <w:separator/>
      </w:r>
    </w:p>
  </w:endnote>
  <w:endnote w:type="continuationSeparator" w:id="0">
    <w:p w:rsidR="00A0624D" w:rsidRDefault="00A06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CourierVK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5BA" w:rsidRDefault="000F65BA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24D" w:rsidRDefault="00A0624D">
      <w:pPr>
        <w:spacing w:after="0" w:line="240" w:lineRule="auto"/>
      </w:pPr>
      <w:r>
        <w:separator/>
      </w:r>
    </w:p>
  </w:footnote>
  <w:footnote w:type="continuationSeparator" w:id="0">
    <w:p w:rsidR="00A0624D" w:rsidRDefault="00A06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5BA" w:rsidRPr="00692107" w:rsidRDefault="000F65BA">
    <w:pPr>
      <w:pStyle w:val="af2"/>
      <w:jc w:val="center"/>
      <w:rPr>
        <w:rFonts w:ascii="Tahoma" w:hAnsi="Tahoma" w:cs="Tahoma"/>
        <w:sz w:val="18"/>
        <w:szCs w:val="18"/>
      </w:rPr>
    </w:pPr>
    <w:r w:rsidRPr="00692107">
      <w:rPr>
        <w:rFonts w:ascii="Tahoma" w:hAnsi="Tahoma" w:cs="Tahoma"/>
        <w:sz w:val="18"/>
        <w:szCs w:val="18"/>
      </w:rPr>
      <w:fldChar w:fldCharType="begin"/>
    </w:r>
    <w:r w:rsidRPr="00692107">
      <w:rPr>
        <w:rFonts w:ascii="Tahoma" w:hAnsi="Tahoma" w:cs="Tahoma"/>
        <w:sz w:val="18"/>
        <w:szCs w:val="18"/>
      </w:rPr>
      <w:instrText>PAGE   \* MERGEFORMAT</w:instrText>
    </w:r>
    <w:r w:rsidRPr="00692107">
      <w:rPr>
        <w:rFonts w:ascii="Tahoma" w:hAnsi="Tahoma" w:cs="Tahoma"/>
        <w:sz w:val="18"/>
        <w:szCs w:val="18"/>
      </w:rPr>
      <w:fldChar w:fldCharType="separate"/>
    </w:r>
    <w:r w:rsidR="00437FAE">
      <w:rPr>
        <w:rFonts w:ascii="Tahoma" w:hAnsi="Tahoma" w:cs="Tahoma"/>
        <w:noProof/>
        <w:sz w:val="18"/>
        <w:szCs w:val="18"/>
      </w:rPr>
      <w:t>6</w:t>
    </w:r>
    <w:r w:rsidRPr="00692107">
      <w:rPr>
        <w:rFonts w:ascii="Tahoma" w:hAnsi="Tahoma" w:cs="Tahoma"/>
        <w:sz w:val="18"/>
        <w:szCs w:val="18"/>
      </w:rPr>
      <w:fldChar w:fldCharType="end"/>
    </w:r>
  </w:p>
  <w:p w:rsidR="000F65BA" w:rsidRDefault="000F65B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4808"/>
    <w:multiLevelType w:val="hybridMultilevel"/>
    <w:tmpl w:val="A4E676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3029F"/>
    <w:multiLevelType w:val="hybridMultilevel"/>
    <w:tmpl w:val="69D0E4C0"/>
    <w:lvl w:ilvl="0" w:tplc="1FD6DC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5658C"/>
    <w:multiLevelType w:val="multilevel"/>
    <w:tmpl w:val="5EB49BE2"/>
    <w:lvl w:ilvl="0">
      <w:start w:val="1"/>
      <w:numFmt w:val="decimal"/>
      <w:lvlText w:val="%1)"/>
      <w:lvlJc w:val="right"/>
      <w:pPr>
        <w:tabs>
          <w:tab w:val="num" w:pos="0"/>
        </w:tabs>
        <w:ind w:left="0" w:firstLine="0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E654D"/>
    <w:multiLevelType w:val="hybridMultilevel"/>
    <w:tmpl w:val="B70A8C7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A4B53"/>
    <w:multiLevelType w:val="multilevel"/>
    <w:tmpl w:val="DFBE39BE"/>
    <w:lvl w:ilvl="0">
      <w:start w:val="1"/>
      <w:numFmt w:val="decimal"/>
      <w:lvlText w:val="%1)"/>
      <w:lvlJc w:val="left"/>
      <w:pPr>
        <w:tabs>
          <w:tab w:val="num" w:pos="660"/>
        </w:tabs>
        <w:ind w:left="416" w:hanging="56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9C430D"/>
    <w:multiLevelType w:val="hybridMultilevel"/>
    <w:tmpl w:val="987AF8B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57F3455"/>
    <w:multiLevelType w:val="hybridMultilevel"/>
    <w:tmpl w:val="503C725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F41FD9"/>
    <w:multiLevelType w:val="hybridMultilevel"/>
    <w:tmpl w:val="C38095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4468"/>
    <w:multiLevelType w:val="hybridMultilevel"/>
    <w:tmpl w:val="03262DBE"/>
    <w:lvl w:ilvl="0" w:tplc="35683D00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sz w:val="16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56B0832"/>
    <w:multiLevelType w:val="multilevel"/>
    <w:tmpl w:val="4E84994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912DD8"/>
    <w:multiLevelType w:val="multilevel"/>
    <w:tmpl w:val="C69606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C46202"/>
    <w:multiLevelType w:val="multilevel"/>
    <w:tmpl w:val="105C043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F27D16"/>
    <w:multiLevelType w:val="hybridMultilevel"/>
    <w:tmpl w:val="8794C15A"/>
    <w:lvl w:ilvl="0" w:tplc="3BBAA18A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206E6C"/>
    <w:multiLevelType w:val="hybridMultilevel"/>
    <w:tmpl w:val="756ACFB8"/>
    <w:lvl w:ilvl="0" w:tplc="A13CF61E">
      <w:start w:val="1"/>
      <w:numFmt w:val="decimal"/>
      <w:lvlText w:val="%1)"/>
      <w:lvlJc w:val="left"/>
      <w:pPr>
        <w:ind w:left="644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7D62424"/>
    <w:multiLevelType w:val="multilevel"/>
    <w:tmpl w:val="D14A9140"/>
    <w:lvl w:ilvl="0">
      <w:start w:val="1"/>
      <w:numFmt w:val="decimal"/>
      <w:lvlText w:val="%1)"/>
      <w:lvlJc w:val="left"/>
      <w:pPr>
        <w:tabs>
          <w:tab w:val="num" w:pos="660"/>
        </w:tabs>
        <w:ind w:left="416" w:hanging="416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CC3EC6"/>
    <w:multiLevelType w:val="multilevel"/>
    <w:tmpl w:val="F366324E"/>
    <w:lvl w:ilvl="0">
      <w:start w:val="1"/>
      <w:numFmt w:val="decimal"/>
      <w:lvlText w:val="%1)"/>
      <w:lvlJc w:val="center"/>
      <w:pPr>
        <w:tabs>
          <w:tab w:val="num" w:pos="720"/>
        </w:tabs>
        <w:ind w:left="720" w:hanging="360"/>
      </w:pPr>
      <w:rPr>
        <w:rFonts w:hint="default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95BDE"/>
    <w:multiLevelType w:val="hybridMultilevel"/>
    <w:tmpl w:val="C38095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C0698"/>
    <w:multiLevelType w:val="multilevel"/>
    <w:tmpl w:val="DB34091C"/>
    <w:lvl w:ilvl="0">
      <w:start w:val="1"/>
      <w:numFmt w:val="decimal"/>
      <w:lvlText w:val="%1)"/>
      <w:lvlJc w:val="right"/>
      <w:pPr>
        <w:tabs>
          <w:tab w:val="num" w:pos="0"/>
        </w:tabs>
        <w:ind w:left="0" w:firstLine="288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3A6239"/>
    <w:multiLevelType w:val="multilevel"/>
    <w:tmpl w:val="43BCD12C"/>
    <w:lvl w:ilvl="0">
      <w:start w:val="1"/>
      <w:numFmt w:val="decimal"/>
      <w:lvlText w:val="%1)"/>
      <w:lvlJc w:val="left"/>
      <w:pPr>
        <w:tabs>
          <w:tab w:val="num" w:pos="660"/>
        </w:tabs>
        <w:ind w:left="416" w:hanging="56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A6353F"/>
    <w:multiLevelType w:val="hybridMultilevel"/>
    <w:tmpl w:val="57FAA82E"/>
    <w:lvl w:ilvl="0" w:tplc="6D9A481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D65F8"/>
    <w:multiLevelType w:val="multilevel"/>
    <w:tmpl w:val="7994B11C"/>
    <w:lvl w:ilvl="0">
      <w:start w:val="1"/>
      <w:numFmt w:val="decimal"/>
      <w:lvlText w:val="%1)"/>
      <w:lvlJc w:val="right"/>
      <w:pPr>
        <w:tabs>
          <w:tab w:val="num" w:pos="357"/>
        </w:tabs>
        <w:ind w:left="720" w:hanging="360"/>
      </w:pPr>
      <w:rPr>
        <w:rFonts w:hint="default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B27352"/>
    <w:multiLevelType w:val="hybridMultilevel"/>
    <w:tmpl w:val="D0CCB882"/>
    <w:lvl w:ilvl="0" w:tplc="EADED6EA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97504A"/>
    <w:multiLevelType w:val="multilevel"/>
    <w:tmpl w:val="105C043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D15469"/>
    <w:multiLevelType w:val="hybridMultilevel"/>
    <w:tmpl w:val="5E789D5E"/>
    <w:lvl w:ilvl="0" w:tplc="5ADAB9F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D6F1999"/>
    <w:multiLevelType w:val="hybridMultilevel"/>
    <w:tmpl w:val="91501AD4"/>
    <w:lvl w:ilvl="0" w:tplc="EF647EF4">
      <w:start w:val="1"/>
      <w:numFmt w:val="decimal"/>
      <w:lvlText w:val="%1)"/>
      <w:lvlJc w:val="right"/>
      <w:pPr>
        <w:tabs>
          <w:tab w:val="num" w:pos="113"/>
        </w:tabs>
        <w:ind w:left="0" w:firstLine="113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BA484C"/>
    <w:multiLevelType w:val="hybridMultilevel"/>
    <w:tmpl w:val="8A80BACE"/>
    <w:lvl w:ilvl="0" w:tplc="0C32356A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sz w:val="16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0F37499"/>
    <w:multiLevelType w:val="hybridMultilevel"/>
    <w:tmpl w:val="B2D0859C"/>
    <w:lvl w:ilvl="0" w:tplc="67860C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TCourierVK/Cyrillic" w:hAnsi="NTCourierVK/Cyrillic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3330C5"/>
    <w:multiLevelType w:val="multilevel"/>
    <w:tmpl w:val="DE28215A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297949"/>
    <w:multiLevelType w:val="hybridMultilevel"/>
    <w:tmpl w:val="F18621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C82F02"/>
    <w:multiLevelType w:val="multilevel"/>
    <w:tmpl w:val="6C4AE532"/>
    <w:lvl w:ilvl="0">
      <w:start w:val="1"/>
      <w:numFmt w:val="decimal"/>
      <w:lvlText w:val="%1)"/>
      <w:lvlJc w:val="left"/>
      <w:pPr>
        <w:tabs>
          <w:tab w:val="num" w:pos="357"/>
        </w:tabs>
        <w:ind w:left="113" w:firstLine="247"/>
      </w:pPr>
      <w:rPr>
        <w:rFonts w:hint="default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DF6CA5"/>
    <w:multiLevelType w:val="hybridMultilevel"/>
    <w:tmpl w:val="FA5065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E04A3D"/>
    <w:multiLevelType w:val="multilevel"/>
    <w:tmpl w:val="EAFA33CC"/>
    <w:lvl w:ilvl="0">
      <w:start w:val="1"/>
      <w:numFmt w:val="decimal"/>
      <w:lvlText w:val="%1)"/>
      <w:lvlJc w:val="right"/>
      <w:pPr>
        <w:tabs>
          <w:tab w:val="num" w:pos="0"/>
        </w:tabs>
        <w:ind w:left="0" w:firstLine="170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26"/>
  </w:num>
  <w:num w:numId="4">
    <w:abstractNumId w:val="1"/>
  </w:num>
  <w:num w:numId="5">
    <w:abstractNumId w:val="3"/>
  </w:num>
  <w:num w:numId="6">
    <w:abstractNumId w:val="6"/>
  </w:num>
  <w:num w:numId="7">
    <w:abstractNumId w:val="24"/>
  </w:num>
  <w:num w:numId="8">
    <w:abstractNumId w:val="10"/>
  </w:num>
  <w:num w:numId="9">
    <w:abstractNumId w:val="15"/>
  </w:num>
  <w:num w:numId="10">
    <w:abstractNumId w:val="27"/>
  </w:num>
  <w:num w:numId="11">
    <w:abstractNumId w:val="20"/>
  </w:num>
  <w:num w:numId="12">
    <w:abstractNumId w:val="29"/>
  </w:num>
  <w:num w:numId="13">
    <w:abstractNumId w:val="18"/>
  </w:num>
  <w:num w:numId="14">
    <w:abstractNumId w:val="4"/>
  </w:num>
  <w:num w:numId="15">
    <w:abstractNumId w:val="14"/>
  </w:num>
  <w:num w:numId="16">
    <w:abstractNumId w:val="9"/>
  </w:num>
  <w:num w:numId="17">
    <w:abstractNumId w:val="11"/>
  </w:num>
  <w:num w:numId="18">
    <w:abstractNumId w:val="22"/>
  </w:num>
  <w:num w:numId="19">
    <w:abstractNumId w:val="17"/>
  </w:num>
  <w:num w:numId="20">
    <w:abstractNumId w:val="2"/>
  </w:num>
  <w:num w:numId="21">
    <w:abstractNumId w:val="31"/>
  </w:num>
  <w:num w:numId="22">
    <w:abstractNumId w:val="21"/>
  </w:num>
  <w:num w:numId="23">
    <w:abstractNumId w:val="12"/>
  </w:num>
  <w:num w:numId="24">
    <w:abstractNumId w:val="13"/>
  </w:num>
  <w:num w:numId="25">
    <w:abstractNumId w:val="8"/>
  </w:num>
  <w:num w:numId="26">
    <w:abstractNumId w:val="25"/>
  </w:num>
  <w:num w:numId="27">
    <w:abstractNumId w:val="19"/>
  </w:num>
  <w:num w:numId="28">
    <w:abstractNumId w:val="5"/>
  </w:num>
  <w:num w:numId="29">
    <w:abstractNumId w:val="16"/>
  </w:num>
  <w:num w:numId="30">
    <w:abstractNumId w:val="7"/>
  </w:num>
  <w:num w:numId="31">
    <w:abstractNumId w:val="23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6D"/>
    <w:rsid w:val="00005E35"/>
    <w:rsid w:val="00031BD2"/>
    <w:rsid w:val="00032887"/>
    <w:rsid w:val="00042BA9"/>
    <w:rsid w:val="000B1940"/>
    <w:rsid w:val="000C0362"/>
    <w:rsid w:val="000D03EC"/>
    <w:rsid w:val="000F65BA"/>
    <w:rsid w:val="00123FDF"/>
    <w:rsid w:val="001345C8"/>
    <w:rsid w:val="00157FEB"/>
    <w:rsid w:val="00176A14"/>
    <w:rsid w:val="001A252A"/>
    <w:rsid w:val="001A7DCA"/>
    <w:rsid w:val="001B1A48"/>
    <w:rsid w:val="001F0ACC"/>
    <w:rsid w:val="002234D4"/>
    <w:rsid w:val="00226003"/>
    <w:rsid w:val="00237DC9"/>
    <w:rsid w:val="00245779"/>
    <w:rsid w:val="00261EB7"/>
    <w:rsid w:val="0027796D"/>
    <w:rsid w:val="002D149F"/>
    <w:rsid w:val="003353E4"/>
    <w:rsid w:val="003422B8"/>
    <w:rsid w:val="003A4675"/>
    <w:rsid w:val="003C040C"/>
    <w:rsid w:val="003E7819"/>
    <w:rsid w:val="003F1185"/>
    <w:rsid w:val="003F1199"/>
    <w:rsid w:val="004017BA"/>
    <w:rsid w:val="00404F89"/>
    <w:rsid w:val="00427BEC"/>
    <w:rsid w:val="00437FAE"/>
    <w:rsid w:val="00445DFA"/>
    <w:rsid w:val="00492BF4"/>
    <w:rsid w:val="00501483"/>
    <w:rsid w:val="00515FB1"/>
    <w:rsid w:val="00547490"/>
    <w:rsid w:val="00596FED"/>
    <w:rsid w:val="005D187E"/>
    <w:rsid w:val="00600C72"/>
    <w:rsid w:val="00607B0F"/>
    <w:rsid w:val="00612E44"/>
    <w:rsid w:val="00637118"/>
    <w:rsid w:val="006470D3"/>
    <w:rsid w:val="0066757A"/>
    <w:rsid w:val="006753A6"/>
    <w:rsid w:val="00681032"/>
    <w:rsid w:val="006A210D"/>
    <w:rsid w:val="006F5F6A"/>
    <w:rsid w:val="0072229A"/>
    <w:rsid w:val="00737B21"/>
    <w:rsid w:val="007F67E1"/>
    <w:rsid w:val="00847D11"/>
    <w:rsid w:val="00852A1D"/>
    <w:rsid w:val="008C6221"/>
    <w:rsid w:val="008D6B2A"/>
    <w:rsid w:val="00923F76"/>
    <w:rsid w:val="00990E72"/>
    <w:rsid w:val="009A7C6B"/>
    <w:rsid w:val="009B5B5F"/>
    <w:rsid w:val="009C3841"/>
    <w:rsid w:val="009E06CC"/>
    <w:rsid w:val="00A0624D"/>
    <w:rsid w:val="00A15881"/>
    <w:rsid w:val="00A2774C"/>
    <w:rsid w:val="00A505FF"/>
    <w:rsid w:val="00AA030D"/>
    <w:rsid w:val="00AA0E0E"/>
    <w:rsid w:val="00AA3059"/>
    <w:rsid w:val="00AA3A93"/>
    <w:rsid w:val="00AA5C5C"/>
    <w:rsid w:val="00AB72D8"/>
    <w:rsid w:val="00B47780"/>
    <w:rsid w:val="00B508C0"/>
    <w:rsid w:val="00B63A28"/>
    <w:rsid w:val="00B90F93"/>
    <w:rsid w:val="00B96D46"/>
    <w:rsid w:val="00BA7E42"/>
    <w:rsid w:val="00BC6A95"/>
    <w:rsid w:val="00BE1CA0"/>
    <w:rsid w:val="00BF7C2D"/>
    <w:rsid w:val="00C03C87"/>
    <w:rsid w:val="00C23CA9"/>
    <w:rsid w:val="00C6787E"/>
    <w:rsid w:val="00CA07C5"/>
    <w:rsid w:val="00CC09AB"/>
    <w:rsid w:val="00D00B4E"/>
    <w:rsid w:val="00D3477C"/>
    <w:rsid w:val="00DA07FF"/>
    <w:rsid w:val="00DB5146"/>
    <w:rsid w:val="00E70EDB"/>
    <w:rsid w:val="00E8251E"/>
    <w:rsid w:val="00EA2F3E"/>
    <w:rsid w:val="00EB779E"/>
    <w:rsid w:val="00EC516D"/>
    <w:rsid w:val="00EE6847"/>
    <w:rsid w:val="00F040C2"/>
    <w:rsid w:val="00F0715C"/>
    <w:rsid w:val="00F41D6E"/>
    <w:rsid w:val="00F55535"/>
    <w:rsid w:val="00FD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DC0F6-C3C1-45A7-BB2E-C3C3A68F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4F89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04F89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sz w:val="1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4F89"/>
    <w:pPr>
      <w:keepNext/>
      <w:spacing w:after="0" w:line="240" w:lineRule="auto"/>
      <w:jc w:val="right"/>
      <w:outlineLvl w:val="2"/>
    </w:pPr>
    <w:rPr>
      <w:rFonts w:ascii="Tahoma" w:eastAsia="Times New Roman" w:hAnsi="Tahoma" w:cs="Times New Roman"/>
      <w:b/>
      <w:sz w:val="1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04F89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b/>
      <w:i/>
      <w:sz w:val="1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04F89"/>
    <w:pPr>
      <w:keepNext/>
      <w:spacing w:after="0" w:line="240" w:lineRule="auto"/>
      <w:jc w:val="center"/>
      <w:outlineLvl w:val="4"/>
    </w:pPr>
    <w:rPr>
      <w:rFonts w:ascii="NTCourierVK/Cyrillic" w:eastAsia="Times New Roman" w:hAnsi="NTCourierVK/Cyrillic" w:cs="Times New Roman"/>
      <w:b/>
      <w:i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04F89"/>
    <w:pPr>
      <w:keepNext/>
      <w:spacing w:after="0" w:line="223" w:lineRule="auto"/>
      <w:jc w:val="center"/>
      <w:outlineLvl w:val="5"/>
    </w:pPr>
    <w:rPr>
      <w:rFonts w:ascii="Tahoma" w:eastAsia="Times New Roman" w:hAnsi="Tahoma" w:cs="Times New Roman"/>
      <w:b/>
      <w:sz w:val="1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04F89"/>
    <w:pPr>
      <w:keepNext/>
      <w:spacing w:after="0" w:line="240" w:lineRule="auto"/>
      <w:ind w:left="-57" w:right="-57"/>
      <w:outlineLvl w:val="6"/>
    </w:pPr>
    <w:rPr>
      <w:rFonts w:ascii="Tahoma" w:eastAsia="Times New Roman" w:hAnsi="Tahoma" w:cs="Times New Roman"/>
      <w:b/>
      <w:bCs/>
      <w:sz w:val="1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04F89"/>
    <w:pPr>
      <w:keepNext/>
      <w:spacing w:after="0" w:line="240" w:lineRule="auto"/>
      <w:jc w:val="right"/>
      <w:outlineLvl w:val="7"/>
    </w:pPr>
    <w:rPr>
      <w:rFonts w:ascii="Tahoma" w:eastAsia="Times New Roman" w:hAnsi="Tahoma" w:cs="Times New Roman"/>
      <w:b/>
      <w:bCs/>
      <w:sz w:val="1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04F89"/>
    <w:pPr>
      <w:keepNext/>
      <w:spacing w:before="120" w:after="0" w:line="240" w:lineRule="auto"/>
      <w:outlineLvl w:val="8"/>
    </w:pPr>
    <w:rPr>
      <w:rFonts w:ascii="Tahoma" w:eastAsia="Times New Roman" w:hAnsi="Tahoma" w:cs="Times New Roman"/>
      <w:b/>
      <w:bCs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4F89"/>
    <w:rPr>
      <w:rFonts w:ascii="Tahoma" w:eastAsia="Times New Roman" w:hAnsi="Tahoma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4F89"/>
    <w:rPr>
      <w:rFonts w:ascii="Tahoma" w:eastAsia="Times New Roman" w:hAnsi="Tahoma" w:cs="Times New Roman"/>
      <w:b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04F89"/>
    <w:rPr>
      <w:rFonts w:ascii="Tahoma" w:eastAsia="Times New Roman" w:hAnsi="Tahoma" w:cs="Times New Roman"/>
      <w:b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4F89"/>
    <w:rPr>
      <w:rFonts w:ascii="Tahoma" w:eastAsia="Times New Roman" w:hAnsi="Tahoma" w:cs="Times New Roman"/>
      <w:b/>
      <w:i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04F89"/>
    <w:rPr>
      <w:rFonts w:ascii="NTCourierVK/Cyrillic" w:eastAsia="Times New Roman" w:hAnsi="NTCourierVK/Cyrillic" w:cs="Times New Roman"/>
      <w:b/>
      <w:i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04F89"/>
    <w:rPr>
      <w:rFonts w:ascii="Tahoma" w:eastAsia="Times New Roman" w:hAnsi="Tahoma" w:cs="Times New Roman"/>
      <w:b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04F89"/>
    <w:rPr>
      <w:rFonts w:ascii="Tahoma" w:eastAsia="Times New Roman" w:hAnsi="Tahoma" w:cs="Times New Roman"/>
      <w:b/>
      <w:bCs/>
      <w:sz w:val="1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04F89"/>
    <w:rPr>
      <w:rFonts w:ascii="Tahoma" w:eastAsia="Times New Roman" w:hAnsi="Tahoma" w:cs="Times New Roman"/>
      <w:b/>
      <w:bCs/>
      <w:sz w:val="1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04F89"/>
    <w:rPr>
      <w:rFonts w:ascii="Tahoma" w:eastAsia="Times New Roman" w:hAnsi="Tahoma" w:cs="Times New Roman"/>
      <w:b/>
      <w:bCs/>
      <w:sz w:val="16"/>
      <w:szCs w:val="20"/>
      <w:lang w:eastAsia="ru-RU"/>
    </w:rPr>
  </w:style>
  <w:style w:type="numbering" w:customStyle="1" w:styleId="11">
    <w:name w:val="Нет списка1"/>
    <w:next w:val="a2"/>
    <w:semiHidden/>
    <w:rsid w:val="00404F89"/>
  </w:style>
  <w:style w:type="paragraph" w:styleId="a3">
    <w:name w:val="Title"/>
    <w:basedOn w:val="a"/>
    <w:link w:val="a4"/>
    <w:qFormat/>
    <w:rsid w:val="00404F89"/>
    <w:pPr>
      <w:spacing w:after="0" w:line="240" w:lineRule="auto"/>
      <w:jc w:val="center"/>
    </w:pPr>
    <w:rPr>
      <w:rFonts w:ascii="Tahoma" w:eastAsia="Times New Roman" w:hAnsi="Tahoma" w:cs="Times New Roman"/>
      <w:b/>
      <w:sz w:val="20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404F89"/>
    <w:rPr>
      <w:rFonts w:ascii="Tahoma" w:eastAsia="Times New Roman" w:hAnsi="Tahoma" w:cs="Times New Roman"/>
      <w:b/>
      <w:sz w:val="20"/>
      <w:szCs w:val="20"/>
      <w:lang w:val="x-none" w:eastAsia="x-none"/>
    </w:rPr>
  </w:style>
  <w:style w:type="paragraph" w:styleId="31">
    <w:name w:val="Body Text 3"/>
    <w:basedOn w:val="a"/>
    <w:link w:val="32"/>
    <w:rsid w:val="00404F89"/>
    <w:pPr>
      <w:spacing w:after="0" w:line="240" w:lineRule="auto"/>
    </w:pPr>
    <w:rPr>
      <w:rFonts w:ascii="Tahoma" w:eastAsia="Times New Roman" w:hAnsi="Tahoma" w:cs="Times New Roman"/>
      <w:b/>
      <w:i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404F89"/>
    <w:rPr>
      <w:rFonts w:ascii="Tahoma" w:eastAsia="Times New Roman" w:hAnsi="Tahoma" w:cs="Times New Roman"/>
      <w:b/>
      <w:i/>
      <w:sz w:val="16"/>
      <w:szCs w:val="20"/>
      <w:lang w:eastAsia="ru-RU"/>
    </w:rPr>
  </w:style>
  <w:style w:type="paragraph" w:styleId="a5">
    <w:name w:val="Body Text"/>
    <w:basedOn w:val="a"/>
    <w:link w:val="a6"/>
    <w:rsid w:val="00404F89"/>
    <w:pPr>
      <w:spacing w:after="0" w:line="240" w:lineRule="auto"/>
      <w:jc w:val="center"/>
    </w:pPr>
    <w:rPr>
      <w:rFonts w:ascii="Tahoma" w:eastAsia="Times New Roman" w:hAnsi="Tahoma" w:cs="Times New Roman"/>
      <w:b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404F89"/>
    <w:rPr>
      <w:rFonts w:ascii="Tahoma" w:eastAsia="Times New Roman" w:hAnsi="Tahoma" w:cs="Times New Roman"/>
      <w:b/>
      <w:sz w:val="20"/>
      <w:szCs w:val="20"/>
      <w:lang w:val="x-none" w:eastAsia="x-none"/>
    </w:rPr>
  </w:style>
  <w:style w:type="paragraph" w:styleId="a7">
    <w:name w:val="Body Text Indent"/>
    <w:basedOn w:val="a"/>
    <w:link w:val="a8"/>
    <w:rsid w:val="00404F89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04F89"/>
    <w:rPr>
      <w:rFonts w:ascii="Tahoma" w:eastAsia="Times New Roman" w:hAnsi="Tahoma" w:cs="Times New Roman"/>
      <w:sz w:val="16"/>
      <w:szCs w:val="20"/>
      <w:lang w:eastAsia="ru-RU"/>
    </w:rPr>
  </w:style>
  <w:style w:type="paragraph" w:styleId="21">
    <w:name w:val="Body Text 2"/>
    <w:basedOn w:val="a"/>
    <w:link w:val="22"/>
    <w:rsid w:val="00404F89"/>
    <w:pPr>
      <w:spacing w:after="0" w:line="240" w:lineRule="auto"/>
      <w:jc w:val="center"/>
    </w:pPr>
    <w:rPr>
      <w:rFonts w:ascii="Tahoma" w:eastAsia="Times New Roman" w:hAnsi="Tahoma" w:cs="Times New Roman"/>
      <w:b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04F89"/>
    <w:rPr>
      <w:rFonts w:ascii="Tahoma" w:eastAsia="Times New Roman" w:hAnsi="Tahoma" w:cs="Times New Roman"/>
      <w:b/>
      <w:szCs w:val="20"/>
      <w:lang w:eastAsia="ru-RU"/>
    </w:rPr>
  </w:style>
  <w:style w:type="paragraph" w:styleId="a9">
    <w:name w:val="Plain Text"/>
    <w:basedOn w:val="a"/>
    <w:link w:val="aa"/>
    <w:rsid w:val="00404F8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404F8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404F89"/>
    <w:pPr>
      <w:spacing w:after="0" w:line="288" w:lineRule="auto"/>
      <w:ind w:firstLine="567"/>
      <w:jc w:val="both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04F89"/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71">
    <w:name w:val="7."/>
    <w:rsid w:val="00404F89"/>
    <w:pPr>
      <w:widowControl w:val="0"/>
      <w:spacing w:before="2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b">
    <w:name w:val="Subtitle"/>
    <w:basedOn w:val="a"/>
    <w:link w:val="ac"/>
    <w:qFormat/>
    <w:rsid w:val="00404F89"/>
    <w:pPr>
      <w:spacing w:after="0" w:line="240" w:lineRule="auto"/>
      <w:jc w:val="center"/>
    </w:pPr>
    <w:rPr>
      <w:rFonts w:ascii="Tahoma" w:eastAsia="Times New Roman" w:hAnsi="Tahoma" w:cs="Times New Roman"/>
      <w:b/>
      <w:sz w:val="20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04F89"/>
    <w:rPr>
      <w:rFonts w:ascii="Tahoma" w:eastAsia="Times New Roman" w:hAnsi="Tahoma" w:cs="Times New Roman"/>
      <w:b/>
      <w:sz w:val="20"/>
      <w:szCs w:val="20"/>
      <w:lang w:eastAsia="ru-RU"/>
    </w:rPr>
  </w:style>
  <w:style w:type="paragraph" w:styleId="25">
    <w:name w:val="envelope return"/>
    <w:basedOn w:val="a"/>
    <w:rsid w:val="00404F89"/>
    <w:pPr>
      <w:spacing w:after="0" w:line="240" w:lineRule="auto"/>
    </w:pPr>
    <w:rPr>
      <w:rFonts w:ascii="Tahoma" w:eastAsia="Times New Roman" w:hAnsi="Tahoma" w:cs="Times New Roman"/>
      <w:sz w:val="18"/>
      <w:szCs w:val="20"/>
      <w:lang w:eastAsia="ru-RU"/>
    </w:rPr>
  </w:style>
  <w:style w:type="paragraph" w:styleId="ad">
    <w:name w:val="caption"/>
    <w:basedOn w:val="a"/>
    <w:next w:val="a"/>
    <w:qFormat/>
    <w:rsid w:val="00404F89"/>
    <w:pPr>
      <w:spacing w:after="0" w:line="240" w:lineRule="auto"/>
    </w:pPr>
    <w:rPr>
      <w:rFonts w:ascii="Tahoma" w:eastAsia="Times New Roman" w:hAnsi="Tahoma" w:cs="Times New Roman"/>
      <w:b/>
      <w:bCs/>
      <w:sz w:val="18"/>
      <w:szCs w:val="24"/>
      <w:lang w:eastAsia="ru-RU"/>
    </w:rPr>
  </w:style>
  <w:style w:type="paragraph" w:styleId="33">
    <w:name w:val="Body Text Indent 3"/>
    <w:basedOn w:val="a"/>
    <w:link w:val="34"/>
    <w:rsid w:val="00404F89"/>
    <w:pPr>
      <w:spacing w:after="0" w:line="223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04F8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404F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404F8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rsid w:val="0040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 Знак Знак"/>
    <w:basedOn w:val="a"/>
    <w:rsid w:val="00404F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header"/>
    <w:aliases w:val="ВерхКолонтитул"/>
    <w:basedOn w:val="a"/>
    <w:link w:val="af3"/>
    <w:uiPriority w:val="99"/>
    <w:rsid w:val="00404F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aliases w:val="ВерхКолонтитул Знак"/>
    <w:basedOn w:val="a0"/>
    <w:link w:val="af2"/>
    <w:uiPriority w:val="99"/>
    <w:rsid w:val="00404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404F89"/>
    <w:pPr>
      <w:tabs>
        <w:tab w:val="center" w:pos="4677"/>
        <w:tab w:val="right" w:pos="9355"/>
      </w:tabs>
      <w:spacing w:after="0" w:line="240" w:lineRule="auto"/>
    </w:pPr>
    <w:rPr>
      <w:rFonts w:ascii="NTCourierVK/Cyrillic" w:eastAsia="Times New Roman" w:hAnsi="NTCourierVK/Cyrillic" w:cs="Times New Roman"/>
      <w:sz w:val="20"/>
      <w:szCs w:val="20"/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rsid w:val="00404F89"/>
    <w:rPr>
      <w:rFonts w:ascii="NTCourierVK/Cyrillic" w:eastAsia="Times New Roman" w:hAnsi="NTCourierVK/Cyrillic" w:cs="Times New Roman"/>
      <w:sz w:val="20"/>
      <w:szCs w:val="20"/>
      <w:lang w:val="x-none" w:eastAsia="x-none"/>
    </w:rPr>
  </w:style>
  <w:style w:type="paragraph" w:customStyle="1" w:styleId="af6">
    <w:name w:val="Верхний колонтитул.ВерхКолонтитул"/>
    <w:basedOn w:val="a"/>
    <w:rsid w:val="00404F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f7">
    <w:name w:val="annotation reference"/>
    <w:rsid w:val="00404F89"/>
    <w:rPr>
      <w:sz w:val="16"/>
      <w:szCs w:val="16"/>
    </w:rPr>
  </w:style>
  <w:style w:type="paragraph" w:styleId="af8">
    <w:name w:val="annotation text"/>
    <w:basedOn w:val="a"/>
    <w:link w:val="af9"/>
    <w:rsid w:val="00404F89"/>
    <w:pPr>
      <w:spacing w:after="0" w:line="240" w:lineRule="auto"/>
    </w:pPr>
    <w:rPr>
      <w:rFonts w:ascii="NTCourierVK/Cyrillic" w:eastAsia="Times New Roman" w:hAnsi="NTCourierVK/Cyrillic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404F89"/>
    <w:rPr>
      <w:rFonts w:ascii="NTCourierVK/Cyrillic" w:eastAsia="Times New Roman" w:hAnsi="NTCourierVK/Cyrillic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404F89"/>
    <w:rPr>
      <w:b/>
      <w:bCs/>
    </w:rPr>
  </w:style>
  <w:style w:type="character" w:customStyle="1" w:styleId="afb">
    <w:name w:val="Тема примечания Знак"/>
    <w:basedOn w:val="af9"/>
    <w:link w:val="afa"/>
    <w:rsid w:val="00404F89"/>
    <w:rPr>
      <w:rFonts w:ascii="NTCourierVK/Cyrillic" w:eastAsia="Times New Roman" w:hAnsi="NTCourierVK/Cyrillic" w:cs="Times New Roman"/>
      <w:b/>
      <w:bCs/>
      <w:sz w:val="20"/>
      <w:szCs w:val="20"/>
      <w:lang w:eastAsia="ru-RU"/>
    </w:rPr>
  </w:style>
  <w:style w:type="table" w:styleId="afc">
    <w:name w:val="Table Grid"/>
    <w:basedOn w:val="a1"/>
    <w:rsid w:val="00404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line number"/>
    <w:rsid w:val="00404F89"/>
  </w:style>
  <w:style w:type="paragraph" w:customStyle="1" w:styleId="12">
    <w:name w:val="Знак Знак1 Знак"/>
    <w:basedOn w:val="a"/>
    <w:rsid w:val="00404F8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44317-A5AC-4D3E-B27A-0DCAB9DA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Струтинская Елена Анатольевна</dc:creator>
  <cp:lastModifiedBy>SE</cp:lastModifiedBy>
  <cp:revision>4</cp:revision>
  <cp:lastPrinted>2021-11-09T13:50:00Z</cp:lastPrinted>
  <dcterms:created xsi:type="dcterms:W3CDTF">2022-11-10T09:05:00Z</dcterms:created>
  <dcterms:modified xsi:type="dcterms:W3CDTF">2024-07-15T07:54:00Z</dcterms:modified>
</cp:coreProperties>
</file>