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223"/>
        <w:gridCol w:w="5223"/>
        <w:gridCol w:w="1259"/>
        <w:gridCol w:w="1116"/>
      </w:tblGrid>
      <w:tr w:rsidR="00F0185E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F0185E">
            <w:pPr>
              <w:rPr>
                <w:sz w:val="24"/>
              </w:rPr>
            </w:pPr>
          </w:p>
        </w:tc>
      </w:tr>
      <w:tr w:rsidR="00F0185E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</w:tr>
      <w:tr w:rsidR="00F0185E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F0185E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F0185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2024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F0185E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0185E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61891510</w:t>
            </w:r>
          </w:p>
        </w:tc>
      </w:tr>
      <w:tr w:rsidR="00F0185E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финансового органа ФИНАНСОВОЕ УПРАВЛЕНИЕ АДМИНИСТРАЦИИ БЕЖАНИЦКОГО РАЙОНА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</w:tr>
      <w:tr w:rsidR="00F0185E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:rsidR="00F0185E" w:rsidRDefault="00981C69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 Бюджет муниципальных районов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58604000</w:t>
            </w:r>
          </w:p>
        </w:tc>
      </w:tr>
      <w:tr w:rsidR="00F0185E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0185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F0185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</w:tr>
      <w:tr w:rsidR="00F0185E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000000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Финансовое управление Администрации Бежаницкого района осуществляет свою деятельность в соответствии с законодательством, иными правовыми актами Российской Федерации. Учреждению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лицевые счета в органе казначейства: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лицевой счет получателя бюджетных средств N 03573017830;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лицевой счет администратора доходов бюджета N 04573017830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лицевой счет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администратора источников финансирования дефицита бюджета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 08573017830;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лицевые счета для  учета операций  по переданным полномочиям  получателя бюджетных средств №14572006750, №14572006490, №14572007200, № 14572005900, № 14572008270, № 14572008040;          № 14572009190, № 14572008930, № 14572008660,№ 14572009600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расчетный счет N 40204810100000000003 . </w:t>
      </w:r>
    </w:p>
    <w:p w:rsidR="00F0185E" w:rsidRDefault="00981C69">
      <w:pPr>
        <w:spacing w:before="240" w:after="2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 "Организационная структура субъекта бюджетной отчетности".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Годовую бюджетную отчетность за 2023 год представили 17 учреждений, из них органы власти, территориальные органы 7 учреждений и контрольно-счетное управление -1, бюджетные учреждения 9 .</w:t>
      </w:r>
    </w:p>
    <w:p w:rsidR="00F0185E" w:rsidRDefault="00981C69">
      <w:pPr>
        <w:spacing w:before="240" w:after="2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Раздел 2 "Результаты деятельности субъекта бюджетной отчетности".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отрасли Общегосударственные расходы по муниципальному району по Администрации района численность персонала учреждения по штатному расписанию - 55,95 должности, в том числе 1 должность лица замещающего выборную муниципальную должность-Глава района, 38 должностей муниципальных служащих, том числе 1 штатная единица, выполняющая государственные полномочия (секретарь комиссии по делам несовершеннолетних) за счет средств областного бюджета, 16,95 должностей работников не являющиеся должностями муниципальной службы.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1 января 2024 года свободных вакансий, по должностям муниципальной службы составило 4 единицы (заместитель главы Администрации Бежаницкого района, консультанта комитета по делам села и АПК, консультанта в отделе системного администрирования) и 0,7 единицы по должности не являющихся должностью муниципальной службы (курьер), 1 единицы главного эксперта. В 2023 г. численность штата в структуре Единой дежурной диспетчерской службы составила 8 единиц. Контрольно - счетное управление финансируется через ГРБ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района. По Финансовому управлению района численность персонала учреждения по штатному расписанию составляет 10 должностей. Штат укомплектован не полностью, имеется одна вакантная должность в отделе бюджетного учёта и отчётности: должность консультанта.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В соответствии с Уставом основным предметом деятельности органа местного самоуправления является управление, решение вопросов местного значения городского, сельских поселений (статья 4 Устава).</w:t>
      </w:r>
    </w:p>
    <w:p w:rsidR="00F0185E" w:rsidRDefault="00981C69">
      <w:pPr>
        <w:spacing w:before="240" w:after="2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городскому поселению "Бежаницы" численность персонала по штатному расписанию 6,5 должностей, в том числе 3 должностей муниципальной службы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Администрации городского поселения - 1, ведущая должность -1, старшая должность-1), 3,5 должности не являющиеся муниципальными служащими. Штат укомплектован полностью, вакансий нет.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По сельским поселениям численность персонала по штатному расписанию 17 должностей, в том числе 4  выборные должности,  11 должностей муниципальной  службы (старшая должность - 10,  младшая должность -1), 2 -не являющиеся должностями муниципальной службы. Штат укомплектован полностью, вакансий нет.</w:t>
      </w:r>
    </w:p>
    <w:p w:rsidR="00F0185E" w:rsidRDefault="00981C69" w:rsidP="00981C69">
      <w:pPr>
        <w:spacing w:before="240" w:after="2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 "Анализ отчета об исполнении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субъектом бюджетной отчетности".</w:t>
      </w:r>
    </w:p>
    <w:p w:rsidR="00F0185E" w:rsidRDefault="00981C69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      Районный бюджет на 2023 год утвержден решением Собрания депутатов Бежаницкого района от 22.12.2022. № 24.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Бюджетом муниципального образования «Бежаницкий район» на 2023 год с учетом внесённых изменений и дополнений план по доходам утвержден в сумме 299085,7 тыс. руб., в т.ч. по  налоговым и неналоговым доходам – 64790,3 тыс. руб., по безвозмездным поступлениям от других бюджетов бюджетной системы Российской Федерации – 234295,4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Фактически за 2023 год в районный бюджет получено 301529,4 тыс. руб. (исполнение 101,0%), из них налоговых и неналоговых платежей – 70934,1 тыс. руб. (109,0%), безвозмездных поступлений от других бюджетов – 230595,3 тыс. руб.</w:t>
      </w:r>
      <w:r w:rsidR="00C4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(98,0%),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-1,3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Основным доходным источником для бюджета района является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налог на доходы физических 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фактическое поступление которого в 2023 году составило  36829,0 тыс. руб. или 51,9% к общей сумме налоговых и неналоговых доходов. Годовой план по налогу на доходы физических лиц выполнен на 102,0%. Общий контингент поступившего налога по району повысился  с 123722,0 т.р. в 2022 г. до  134840,4 т.р. в 2023 году или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9,0 %.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Фактическое поступление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налога, взимаемого в связи с применением упрощенной системы налогообложения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 составило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3458,3 тыс. руб. при плане 3481,0  тыс. руб., (99,0 %).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Поступление единого сельскохозяйственного налога составило  3,3 тыс. руб. при плане 69,0 тыс. руб.(5,0 %).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государственной пошлины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бюджет района составляет 1118,5 тыс. руб. при плане 1196,0 тыс. руб., т. е. годовой план выполнен на 94,0 %.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Существенную роль в создании стабильной финансовой базы районного бюджета играют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неналоговые доходы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бюджете района 2023 года фактическое поступление неналоговых доходов составляет 10751,8 тыс. руб. (15,2 % от общей суммы налоговых и неналоговых доходов).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доходам от использования имущества, находящегося в государственной и муниципальной собственности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план выполнен на 135,0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 плане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6 713,8 тыс.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фактически в районный бюджет поступило 9 095,1 тыс.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– 5115,6 тыс. руб.;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– 899,1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 – 426,1 тыс. руб.;</w:t>
      </w:r>
    </w:p>
    <w:p w:rsidR="00F0185E" w:rsidRDefault="00981C69">
      <w:pPr>
        <w:spacing w:line="240" w:lineRule="atLeast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доходы,  получаемые в виде арендной платы, а также средства от продажи права на заключение договоров  аренды за земли, находящиеся в собственности  муниципальных районов –   49,6 тыс. руб.;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доходы от сдачи в аренду имущества, находящегося в оперативном управлении органов управления муниципальных районов и созданных ими учреждений –1084,2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доходы от перечисления части прибыли муниципальных предприятий района – 43,1 тыс. руб.;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прочие поступления от использования имущества, находящегося в собственности муниципальных районов – 1477,4 тыс. руб.</w:t>
      </w:r>
    </w:p>
    <w:p w:rsidR="00F0185E" w:rsidRDefault="00981C69">
      <w:pPr>
        <w:ind w:firstLine="700"/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ст. 4 Решения собрания депутатов Бежаницкого района от 22.12.2022 г. № 24 «О бюджете муниципального образования «Бежаницкий район» на 2023 год и на плановый период 2024 и 2025 годов», согласно Порядка, утверждённого Администрацией района, муниципальным предприятиям Бежаницкого района установлены платежи в районный бюджет от прибыли, остающейся после уплаты налогов и иных обязательных платежей в бюджеты.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2023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доходы от перечисления части прибыли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поступили от следующих муниципальных предприятий: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-МП «Бежаницкая типография»   5,9   тыс. руб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     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-МП «Услуга»                                12,8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-МП «Водоканал»                          24,4 тыс. руб.</w:t>
      </w:r>
    </w:p>
    <w:p w:rsidR="00F0185E" w:rsidRDefault="00981C69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  По платежам за пользование природными ресурсами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выполнен на 172,0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основном это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плата за негативное воздействие на окружающую среду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406,2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По доходам от продажи материальных и нематериальных активов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исполнение составило 338,0 %, при плане 120,0 тыс. 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фактически поступило в доход бюджета 405,5 тыс. руб.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числе: 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-доходы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– 235,0 тыс. руб.;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-доходы от продажи земельных участков, государственная собственность на которые не разграничена и которые расположены в границах городских поселений-139,9 тыс. руб.;  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- доходы от продажи земельных участков, находящихся в собственности муниципальных районов -30,6 тыс. руб.     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Главными администраторами данных доходов является Администрация района.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 доходному источнику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Штрафы, санкции, возмещение ущерба»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выполнен на 50,0 %, при плане 420,0 тыс. руб. фактическое поступление составило – 209,8 тыс. руб., в том числе: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-Административные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-     10,9             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-Административные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   9,2 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 5,0 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-Административные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 3,0 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   23,0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   0,3 тыс. руб.</w:t>
      </w:r>
      <w:proofErr w:type="gramEnd"/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 -1,8 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-Административные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  0,5  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-Административные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 15,0   тыс. руб.</w:t>
      </w:r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   101,1 тыс. руб.</w:t>
      </w:r>
      <w:proofErr w:type="gramEnd"/>
    </w:p>
    <w:p w:rsidR="00F0185E" w:rsidRDefault="00981C69">
      <w:pPr>
        <w:jc w:val="both"/>
        <w:rPr>
          <w:rFonts w:ascii="Courier New" w:eastAsia="Courier New" w:hAnsi="Courier New" w:cs="Courier Ne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 40,0  тыс. руб. Были произведены возвраты прошлых лет в сумме 1,3 тыс. рублей.</w:t>
      </w:r>
      <w:proofErr w:type="gramEnd"/>
    </w:p>
    <w:p w:rsidR="00F0185E" w:rsidRDefault="00981C69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Расходная часть бюджета района за 2023 год исполнена на 98,3%. При плане 341472,3 тыс. руб. фактически произведено расходов 335534,6. Профицит бюджета составил 246,2 тыс. руб. при плановом дефиците 11397,8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 Остатки на счете районного бюджета и бюджетов поселений на 01.01.2024г. составили 13833,8 тыс. руб. Произведено расходов бюджета района в 2023 году в разрезе отраслей:     </w:t>
      </w:r>
    </w:p>
    <w:p w:rsidR="00F0185E" w:rsidRDefault="00981C69">
      <w:pPr>
        <w:spacing w:line="271" w:lineRule="auto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Общегосударственные вопросы: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- 55905,5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руб., исполнено - 54527,5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руб., 97,5% (по РЗПР 0111-остаток резервного фонда – 352,9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руб., РЗПР 0106-312,2 сложилась экономия средств, РЗПЗ 0113 - экономия средств в результате конкурсных процедур – 511,7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руб., РЗПР 0104  сложилась экономия 200,3 тыс. руб.). </w:t>
      </w:r>
      <w:proofErr w:type="gramEnd"/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 - Национальная оборона: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- 422,6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- 422,6 тыс.руб., 100%.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- Национальная безопасность и правоохранительная деятельность: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- 1068,1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- 991,3 тыс.руб., 92,8% - неисполнение сложилось из-за экономии средств в связи с конкурсными процедурами, а в последствии невозможности заключения прямого договора в связи с превышением  суммы лимита закупок по прямым договорам.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- Национальная экономика: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- 46532,4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- 45797,3 тыс.руб., 98,4% (по РЗПР 0409 Неисполнение произошло по причине того, что в результате конкурсных процедур произошла экономия денежных средств дорожного фонда, РЗПР 0412 исполнение 85,6%, неисполнение в сумме 54,3 тыс. руб. сложилось из-за необходимости оформления земельных участков в г/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"Бежаницы", в 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"Бежаницкое" запланированные работы по оформлению кадастровых работ не проводились).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- Жилищно - коммунальное хозяйство: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– 26264,6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– 24994,9 тыс.руб., 95,2%, по РЗПР 0501- жилищное хозяйство 96,8%; РЗПР 0502 - коммунальной хозяйство 100%, РЗПР 0503 - благоустройство 92,2%. Экономия сложилась в городском поселении по причине отсутствия затрат на новогодние мероприятия, произошло из-за экономии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св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язи с конкурсными процедурами, а в последствии невозможности заключения прямого договора в связи с превышением  суммы лимита закупок по прямым договорам.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- Образование: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– 168973,9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уб., исполнено – 166685,9 тыс.руб., 98,6% по РЗПР 0701- дошкольное образование 99,5 %, по РЗПР 0702- общее образование 98,9%, по РЗПР 0703-дополнительное образование детей 99,5%, по РЗПР 0707- молодежная политика и оздоровление детей 100% по РЗПР 0709- другие вопросы в области образования использованы на 81,4%.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- Культура, кинематография, средства массовой информации: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–31663,3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– 31630,0 тыс.руб., 99,9%.     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- Социальная политика: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– 6185,0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исполнено – 6104,6 тыс.руб., 98,7%, по РЗПР 1001-99,9%; по РЗПР 1003-98,3%; по РЗПР 1004-97,7%. Экономия средств, в связи с уменьшением численности ветеранов, по выплате компенсации части родительской платы за присмотр и уход, экономия сложилась в связи с посещаемостью детей детских учреждений.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- Физическая культура и спорт: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– 4130,6 тыс. руб., исполнено – 4130,6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руб., 100%.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- Средства массовой информации: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- 250 тыс. руб., исполнено - 250,0 тыс.</w:t>
      </w:r>
      <w:r w:rsidR="00CD2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руб., 100%.</w:t>
      </w:r>
    </w:p>
    <w:p w:rsidR="00F0185E" w:rsidRDefault="00981C69">
      <w:pPr>
        <w:spacing w:before="240" w:after="240"/>
        <w:ind w:firstLine="5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 "Анализ показателей финансовой отчетности"</w:t>
      </w:r>
    </w:p>
    <w:p w:rsidR="00F0185E" w:rsidRDefault="00981C69">
      <w:pPr>
        <w:spacing w:before="240" w:after="240"/>
        <w:ind w:firstLine="5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Пояснения к форме "Сведения о движении нефинансовых активов консолидированного бюджета (бюджетная деятельность)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№ 0503368)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заполняли, так как в рамках межбюджетных отношений между районным бюджетом и городскими и сельскими поселениями по кодам КОСГУ 191,195,251 отсутствовала передача-получение нефинансовых активов. </w:t>
      </w:r>
    </w:p>
    <w:p w:rsidR="00F0185E" w:rsidRDefault="00981C69">
      <w:pPr>
        <w:spacing w:before="240" w:after="240"/>
        <w:ind w:firstLine="5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"Сведения о движении нефинансовых активов консолидированного бюджета (бюджетная деятельность)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№ 0503368)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есть предупреждения на сумму 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15 838 393,02</w:t>
      </w: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это безвозмездно переданное неденежное имущество капитального характера от комитетов Псковской области.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Пояснения к форме "Сведения по дебиторской и кредиторской задолженности (Бюдж, Дебит, Кредит)" (форма № 0503369):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85E" w:rsidRDefault="00981C69">
      <w:pPr>
        <w:spacing w:before="240" w:after="240"/>
        <w:ind w:firstLine="5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по счету 120511000 дебиторская задолженность на начало года в сумме 4086416,37 тыс. руб. из них просроченная 4080997,37 тыс.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конец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3921557,21 тыс. руб. из них долгосрочная задолженность 79215,00 тыс. руб. и просроченная задолженность составляет 3671741,89 тыс. руб. по отчетности предоставленной УФНС России по Псковской области по налогам;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по счету 120521000 дебиторская задолженность на начало года в сумме 15007514,75 тыс. руб., на конец года в сумме 10029288,38 тыс. руб. (дебиторская задолженность по доходам от операционной аренды начисленная по договорам  на весь период действия аренды).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счету 120523000 дебиторская задолженность на начало года начислена  арендная плата за пользование  имуществом и земельными участками, переданные в аренду на весь период действия аренды и отражена по договорам  аренды в сумме - 25449450,76 тыс. руб. на конец года 26034016,66 тыс. руб.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счету 120551000 дебиторская задолженность на конец года  в сумме 760660640,71 тыс. руб., из них капитальные вложения 3241161,00 тыс. руб. отражены доходы будущих периодов плановых назначений  по межбюджетным трансфертам 2024-2026 годов по дотации, субсидии, субвенции и иным межбюджетным трансфертам.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счету 120511000 кредиторская задолженность на начало  года в сумме 2393818,06 тыс. руб. на конец года в сумме 890402,78 тыс. руб. по отчетности предоставленной УФНС России по Псковской области по налогам;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Дебиторская и кредиторская задолженность (в том числе просроченная) на 1 января 2024 года по одному контракту и одному контрагенту свыше 1000000 руб. отсутствует.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675"/>
        <w:gridCol w:w="1595"/>
        <w:gridCol w:w="1595"/>
        <w:gridCol w:w="1608"/>
        <w:gridCol w:w="1675"/>
        <w:gridCol w:w="1675"/>
      </w:tblGrid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Наименование показателя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Сумма на 01.01.2023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Сумма на 01.01.2024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Отклонение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(+-)</w:t>
            </w:r>
            <w:proofErr w:type="gramEnd"/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Причины увеличения просроченной задолженности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Принимаемые меры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Общая сумма дебиторской задолженности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607948264,80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804887371,89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+196939107,09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 Отражены доходы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будущих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приодов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в сумме 760660640,71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В том числе просроченная дебиторская задолженность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4080997,37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3671741,89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409255,48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По данным УФНС России задолженность уменьшилась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 Сумма на начало года была изменена на 476016,47, так как УФНС России уменьшила сумму дебиторской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>задолженности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Отношение просроченной дебиторской задолженности к общему объему дебиторской задолженности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0,6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0,5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0,2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Общая сумма кредиторской задолженности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2680990,86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1113048,97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-1567941,89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В том числе просроченная кредиторская задолженность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</w:tr>
      <w:tr w:rsidR="00F0185E"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Отношение просроченной кредиторской задолженности к  общему объему кредиторской задолженности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Просроченная кредиторская задолженность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476"/>
        <w:gridCol w:w="2476"/>
        <w:gridCol w:w="2477"/>
        <w:gridCol w:w="2477"/>
      </w:tblGrid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 просроченной задолженности (в рублях с коп.)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образования задолженности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Причина образования</w:t>
            </w:r>
          </w:p>
        </w:tc>
      </w:tr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-</w:t>
            </w:r>
          </w:p>
        </w:tc>
      </w:tr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Просроченная кредиторская задолженность отсутствует.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Просроченная дебиторская задолженность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476"/>
        <w:gridCol w:w="2476"/>
        <w:gridCol w:w="2477"/>
        <w:gridCol w:w="2477"/>
      </w:tblGrid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 просроченной задолженности (в рублях с коп)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образования задолженности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Причина образования</w:t>
            </w:r>
          </w:p>
        </w:tc>
      </w:tr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данным УФНС России по налогам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3671741,89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Несвоевременно уплаченные налоги физическими и юридическими лицами в бюджеты поселений</w:t>
            </w:r>
          </w:p>
        </w:tc>
      </w:tr>
      <w:tr w:rsidR="00F0185E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pacing w:before="240" w:after="2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Пояснения к форме "Баланс исполнения консолидированного бюджета субъекта Российской Федерации и бюджета территориального государственного внебюджетного фонда"</w:t>
      </w:r>
      <w:r w:rsidR="00CD2A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(форма № 0503320)представлены в таблице консолидируемых расчетов: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586"/>
        <w:gridCol w:w="1524"/>
        <w:gridCol w:w="1536"/>
        <w:gridCol w:w="1524"/>
        <w:gridCol w:w="1512"/>
        <w:gridCol w:w="1536"/>
        <w:gridCol w:w="1026"/>
      </w:tblGrid>
      <w:tr w:rsidR="00F0185E">
        <w:trPr>
          <w:trHeight w:val="108"/>
        </w:trPr>
        <w:tc>
          <w:tcPr>
            <w:tcW w:w="1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счета</w:t>
            </w:r>
          </w:p>
        </w:tc>
        <w:tc>
          <w:tcPr>
            <w:tcW w:w="3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 (сумма в 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коп.)</w:t>
            </w:r>
          </w:p>
        </w:tc>
        <w:tc>
          <w:tcPr>
            <w:tcW w:w="3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городских поселени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руб. с коп.)</w:t>
            </w:r>
          </w:p>
        </w:tc>
        <w:tc>
          <w:tcPr>
            <w:tcW w:w="2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сельских поселений (сумма в руб. с коп.)</w:t>
            </w:r>
          </w:p>
        </w:tc>
      </w:tr>
      <w:tr w:rsidR="00F0185E">
        <w:trPr>
          <w:trHeight w:val="168"/>
        </w:trPr>
        <w:tc>
          <w:tcPr>
            <w:tcW w:w="1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</w:tr>
      <w:tr w:rsidR="00F0185E"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120551001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27200542,81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228600,00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26971942,81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</w:tr>
      <w:tr w:rsidR="00F0185E">
        <w:trPr>
          <w:trHeight w:val="335"/>
        </w:trPr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140140151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27200542,81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228600,00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26971942,81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Пояснения к форме "Консолидированный отчет о финансовых результатах деятельности " (форма №0503321)представлены в таблице консолидируемых расчетов: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586"/>
        <w:gridCol w:w="1524"/>
        <w:gridCol w:w="1511"/>
        <w:gridCol w:w="1524"/>
        <w:gridCol w:w="1512"/>
        <w:gridCol w:w="1476"/>
        <w:gridCol w:w="1026"/>
      </w:tblGrid>
      <w:tr w:rsidR="00F0185E">
        <w:trPr>
          <w:trHeight w:val="108"/>
        </w:trPr>
        <w:tc>
          <w:tcPr>
            <w:tcW w:w="1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счета</w:t>
            </w:r>
          </w:p>
        </w:tc>
        <w:tc>
          <w:tcPr>
            <w:tcW w:w="3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 (сумма в 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коп.)</w:t>
            </w:r>
          </w:p>
        </w:tc>
        <w:tc>
          <w:tcPr>
            <w:tcW w:w="3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городских поселени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руб. с коп.)</w:t>
            </w:r>
          </w:p>
        </w:tc>
        <w:tc>
          <w:tcPr>
            <w:tcW w:w="2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сельских поселений (сумма в руб. с коп.)</w:t>
            </w:r>
          </w:p>
        </w:tc>
      </w:tr>
      <w:tr w:rsidR="00F0185E">
        <w:trPr>
          <w:trHeight w:val="168"/>
        </w:trPr>
        <w:tc>
          <w:tcPr>
            <w:tcW w:w="1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</w:tr>
      <w:tr w:rsidR="00F0185E"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120551001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27200542,81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228600,00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26971942,81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0185E">
        <w:trPr>
          <w:trHeight w:val="335"/>
        </w:trPr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140140151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27200542,81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228600,00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1024332,00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26971942,81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Пояснения к форме "Отчет о финансовых результатах" (форма № 0503321):</w:t>
      </w:r>
    </w:p>
    <w:tbl>
      <w:tblPr>
        <w:tblW w:w="10335" w:type="dxa"/>
        <w:tblInd w:w="-42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511"/>
        <w:gridCol w:w="2950"/>
        <w:gridCol w:w="5874"/>
      </w:tblGrid>
      <w:tr w:rsidR="00F0185E">
        <w:trPr>
          <w:trHeight w:val="350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1 401 10 171, 1 401 10 172,          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1 401 10 189 , 1 401 10 173,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1 401 10 190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причина</w:t>
            </w:r>
          </w:p>
        </w:tc>
      </w:tr>
      <w:tr w:rsidR="00F0185E">
        <w:trPr>
          <w:trHeight w:val="343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ind w:firstLine="7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ind w:right="1200" w:firstLine="7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0185E">
        <w:trPr>
          <w:trHeight w:val="816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Нефинансовые активы, всего,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счетам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736132,49      (140110172) 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   214242,26   (140110189)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        0         (140110191)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   9298233,85         (140110195)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21597517,40           (140110199)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ind w:firstLine="7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85E">
        <w:trPr>
          <w:trHeight w:val="219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0,00 (140110172)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0185E">
        <w:trPr>
          <w:trHeight w:val="2155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240036113,22 (140110172)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-7350007,07(140110176)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Доходы от продажи земельных участков, государственная  собственность на которые не разграничена и которые расположены в границах городских поселений, земли г/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 "Бежаницы", с/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"Бежаницкое" и "Чихачевское".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11273468,01 переоценка земельных участков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собственность на которые не разграничена и участки принятые в казну 137474,16 переоценка земельных участков муниципальной собственности, 177380,24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земельного участк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земельных участков 2 кладбища)находящегося в собственности Администрации сельского поселения "Лющикская волость"на основании Выписки из Единого государственного реестра недвижимости, 9910,26 Переоценка земельных участков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(4) кладбища, (1)земля под зданием администрации находящиеся в               собственности Администрации сельского поселения "Лющикская волость"</w:t>
            </w:r>
            <w:r w:rsidR="0087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D2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основании Выписок из Единого государственного реестра недвижимости                                                                         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 </w:t>
            </w:r>
          </w:p>
        </w:tc>
      </w:tr>
      <w:tr w:rsidR="00F0185E">
        <w:trPr>
          <w:trHeight w:val="2155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110500000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74694,60 (140110172)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224375,56(140110189)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55,89 (140110189)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Доходы от реализации иного имущества, находящегося в собственности городских поселений, в части реализации материальных запасов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прочие неналоговые доходы бюджетов городских поселений</w:t>
            </w:r>
            <w:r w:rsidR="0087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(плата за нестационарные торговые объекты)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Невыясненные поступления</w:t>
            </w:r>
          </w:p>
        </w:tc>
      </w:tr>
      <w:tr w:rsidR="00F0185E">
        <w:trPr>
          <w:trHeight w:val="219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110800000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    16651805,52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140110195)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108245,38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(140110141-145) 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13 197,00 (140110191)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140110141) -101 113,38 пени за несвоевременное подрядчиком исполнение контракта 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(140110145)  7 132,00 штрафы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140110195- 15 816 923,01 в т.ч.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15 003 510-51 (для школ) и 813 412-50 контейнеры для сбора мусора,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140110195- 834 882-51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140110191- 13 197,00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0185E">
        <w:trPr>
          <w:trHeight w:val="716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Финансовые активы, всего,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 по счетам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  33251244,49      (140110172) 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     -110123,38        (140110173)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            (140110189)</w:t>
            </w:r>
          </w:p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0185E">
        <w:trPr>
          <w:trHeight w:val="263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120400000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22791949,69             (140110172)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Расчеты с учредителем. </w:t>
            </w:r>
          </w:p>
        </w:tc>
      </w:tr>
      <w:tr w:rsidR="00F0185E">
        <w:trPr>
          <w:trHeight w:val="263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120500000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    -  8419,22 (140110173)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      -  75708,07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   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 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Чрезвычайные доходы от операций с активами, на основании отчетности УФНС России по Псковской области за 2023год.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0185E">
        <w:trPr>
          <w:trHeight w:val="392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Обязательства, всего,</w:t>
            </w:r>
          </w:p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счетам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ind w:firstLine="7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85E">
        <w:trPr>
          <w:trHeight w:val="366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130100000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85E" w:rsidRDefault="00981C69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форме 0503321 "Консолидированный отчет о финансовых результатах деятельности " имеются предупреждения по строке 096 "Доходы от оценки активов и обязательств" в сумме "-7350007,07" сумма сложилась в отрицательном показателе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городскому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сельским поселениям за счет переоценки земельных участков, находящихся в собственности и в долгосрочной аренде. Строке 090 "Доходы от операций с активами" имеется предупреждение -13504578,80 по городскому поселению.</w:t>
      </w:r>
    </w:p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 Пояснения к форме "Справка по заключению счетов бюджетного учета отчетного </w:t>
      </w:r>
    </w:p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финансового года</w:t>
      </w:r>
      <w:r w:rsidR="00877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финансового года (мест</w:t>
      </w:r>
      <w:r w:rsidR="00877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ные бюджеты)" (форма № 0503110)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0185E" w:rsidRDefault="00981C69">
      <w:pPr>
        <w:ind w:left="20"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635" w:type="dxa"/>
        <w:tblInd w:w="-7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453"/>
        <w:gridCol w:w="836"/>
        <w:gridCol w:w="3167"/>
        <w:gridCol w:w="4179"/>
      </w:tblGrid>
      <w:tr w:rsidR="00F0185E">
        <w:trPr>
          <w:trHeight w:val="379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показателя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КОСГУ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-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Сумма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-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Пояснения</w:t>
            </w:r>
          </w:p>
        </w:tc>
      </w:tr>
      <w:tr w:rsidR="00F0185E">
        <w:trPr>
          <w:trHeight w:val="253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</w:tr>
      <w:tr w:rsidR="00F0185E">
        <w:trPr>
          <w:trHeight w:val="716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Курсовая разница по денежным средствам в корреспонденции со счетами 201.XX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171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0  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395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 w:right="5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оценки активов и обязательств, всего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176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-7350007,07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Переоценка земельных участков  государственная собственность на которые не разграничена,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участки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принятые в казну переоценка земельных участков муниципальной собственности</w:t>
            </w:r>
          </w:p>
        </w:tc>
      </w:tr>
      <w:tr w:rsidR="00F0185E">
        <w:trPr>
          <w:trHeight w:val="432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1XX.XX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176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-7350007,07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   Переоценка земельных участков </w:t>
            </w:r>
            <w:r w:rsidR="00877F0B">
              <w:rPr>
                <w:rFonts w:ascii="Times New Roman" w:eastAsia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собственность на которые не разграничена,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участки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принятые в казну переоценка земельных участков муниципальной собственности: 7128112,75 переоценка земельных участков в собственности Администрации района, -13710968,64 переоценка земельных участков в собственности городского поселения, -767151,18 переоценка земельных участков в собственности сельских поселений</w:t>
            </w:r>
          </w:p>
        </w:tc>
      </w:tr>
      <w:tr w:rsidR="00F0185E">
        <w:trPr>
          <w:trHeight w:val="647"/>
        </w:trPr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after="20"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204.5Х, 205.XX, 206.ХХ, 208.ХХ,</w:t>
            </w:r>
          </w:p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209.XX, 210.XX, 215.5Х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-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 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4" w:type="dxa"/>
              <w:left w:w="0" w:type="dxa"/>
              <w:bottom w:w="0" w:type="dxa"/>
              <w:right w:w="15" w:type="dxa"/>
            </w:tcMar>
            <w:hideMark/>
          </w:tcPr>
          <w:p w:rsidR="00F0185E" w:rsidRDefault="00981C69">
            <w:pPr>
              <w:spacing w:line="258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</w:tbl>
    <w:p w:rsidR="00F0185E" w:rsidRDefault="00981C69">
      <w:pPr>
        <w:ind w:right="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10620" w:type="dxa"/>
        <w:tblInd w:w="-74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477"/>
        <w:gridCol w:w="840"/>
        <w:gridCol w:w="3152"/>
        <w:gridCol w:w="4151"/>
      </w:tblGrid>
      <w:tr w:rsidR="00F0185E">
        <w:trPr>
          <w:trHeight w:val="559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-700" w:firstLine="54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204.2Х, 215.2X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204.3Х, 215.3Х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207.ХХ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корреспонденции со счетами 302.XX, 303.ХХ, 304.XX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87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счетом 301.XX в части полученных кредитов и займов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873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счетом 301.XX в части долговых ценных бумаг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394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Чрезвычайные доходы от операций с активами,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173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151146,05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 w:rsidP="00877F0B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Доходы от продажи земельных участков, которые находятся в границах поселений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1ХХ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87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20"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2ХХ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Х, за исключением счета </w:t>
            </w:r>
          </w:p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207.ХХ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173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151146,05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 w:rsidP="00877F0B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Доходы от продажи земельных участков, которые находятся в границах поселений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207.ХХ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1193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Безвозмездные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поступления текущего характера от сектора государственного управления и организаций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сектора,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191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13197,00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Передача материалов в виде канцелярских товаров в рамках от ГБОУ ДПО ПО " ЦОКО"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корреспонденции со счетами 1ХХ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191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13197,00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Передача материалов в виде канцелярских товаров в рамках "Успех каждого ребенка" от ГБОУ ДПО ПО " ЦОКО"</w:t>
            </w:r>
          </w:p>
        </w:tc>
      </w:tr>
      <w:tr w:rsidR="00F0185E">
        <w:trPr>
          <w:trHeight w:val="87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20"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204.5Х, 205.ХХ, 206.ХХ, 208.ХХ,</w:t>
            </w:r>
          </w:p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209.ХХ, 210.ХХ, 215.5Х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-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204.2Х, 215.2Х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204.3Х, 215.ЗХ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1192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Безвозмездные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195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 w:right="34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16651805,52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 Безвозмездные не денежные поступления капитального характера в сектор государственного управления </w:t>
            </w:r>
          </w:p>
        </w:tc>
      </w:tr>
      <w:tr w:rsidR="00F0185E">
        <w:trPr>
          <w:trHeight w:val="984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75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101.XX, 102.XX, 103.ХХ, 1041Х, 104.3Х, 1045Х, 104.9Х, 106.1Х, 106.31, 106.3N, 106.3R, 106.31, </w:t>
            </w:r>
          </w:p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106.3D, 106.33, 106.41, 106.51 -106.55, 106.9X, 108.51-108.55,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   195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16651805,52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Были пе</w:t>
            </w:r>
            <w:r w:rsidR="00877F0B">
              <w:rPr>
                <w:rFonts w:ascii="Times New Roman" w:eastAsia="Times New Roman" w:hAnsi="Times New Roman" w:cs="Times New Roman"/>
                <w:color w:val="000000"/>
              </w:rPr>
              <w:t>реданы: ноутбуки, куклы на руку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русские народные костюмы, комплекты государственных символов РФ, </w:t>
            </w:r>
            <w:r w:rsidR="00877F0B">
              <w:rPr>
                <w:rFonts w:ascii="Times New Roman" w:eastAsia="Times New Roman" w:hAnsi="Times New Roman" w:cs="Times New Roman"/>
                <w:color w:val="000000"/>
              </w:rPr>
              <w:t>православная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литература, интерактивные панели, тележка-хранилище для ноутбуков, многофункциональное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устройство, звуковые колонки, выставочные шкафы, микрофоны,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мильтимедийные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проекторы, набор беспроводных микрофонов, ширма театральная, спальный мешок, туристическая палатка, туристический рюкзак, телевизор, роутер, видеокамера, образовательный конструктор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цифровая лаборатория по биологии, физике и химии,</w:t>
            </w:r>
            <w:r w:rsidR="00877F0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образовательный набор по механике , микроскопы, световой эффект движения узких лучей, прибор световых эффектов тип 1 и тип 2, контейнеры для раздельного мусора</w:t>
            </w:r>
          </w:p>
        </w:tc>
      </w:tr>
      <w:tr w:rsidR="00F0185E">
        <w:trPr>
          <w:trHeight w:val="559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108.9Х, 114.1X, 114.3Х, 114.7X.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160" w:line="259" w:lineRule="auto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160" w:line="259" w:lineRule="auto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160" w:line="259" w:lineRule="auto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0185E">
        <w:trPr>
          <w:trHeight w:val="55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Прочие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безвозмездные поступления,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199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1ХХ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87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after="20"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корреспонденции со счетами 204.5Х, 205.XX, 206.ХХ, 208.ХХ,</w:t>
            </w:r>
          </w:p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209.ХХ, 210.ХХ, 215.5Х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-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204.2Х, 215.2Х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204.3Х, 215.3Х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559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388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Иные доходы,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189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554236,25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муни</w:t>
            </w:r>
            <w:r w:rsidR="00877F0B">
              <w:rPr>
                <w:rFonts w:ascii="Times New Roman" w:eastAsia="Times New Roman" w:hAnsi="Times New Roman" w:cs="Times New Roman"/>
                <w:color w:val="000000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пального района, бюджетов городских поселений (плата за нестационарные торговые объекты), поступления от денежных пожертвований, предоставляемых физическими лицами получателям средств бюджетов муниципальных районов, прочие неналоговые поступления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корреспонденции со счетами 205.XX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189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554236,25    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прочие неналоговые доходы муниципального района, бюджетов городских поселений (плата за нестационарные торговые объекты), поступления от денежных пожертвований, предоставляемых физическими лицами получателям средств бюджетов муниципальных районов, прочие неналоговые поступления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иное (указать подробно)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277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Чрезвычайные расходы по операциям с активами, всего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273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0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   </w:t>
            </w:r>
          </w:p>
        </w:tc>
      </w:tr>
      <w:tr w:rsidR="00F0185E">
        <w:trPr>
          <w:trHeight w:val="874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от операций с нефинансовыми активами, кроме чрезвычайных расходов от операций с материальными запасами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</w:tr>
      <w:tr w:rsidR="00F0185E">
        <w:trPr>
          <w:trHeight w:val="556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от операций с материальными запасами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</w:tr>
      <w:tr w:rsidR="00F0185E">
        <w:trPr>
          <w:trHeight w:val="552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 xml:space="preserve">иное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  <w:tc>
          <w:tcPr>
            <w:tcW w:w="4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5" w:type="dxa"/>
              <w:left w:w="0" w:type="dxa"/>
              <w:bottom w:w="0" w:type="dxa"/>
              <w:right w:w="26" w:type="dxa"/>
            </w:tcMar>
            <w:hideMark/>
          </w:tcPr>
          <w:p w:rsidR="00F0185E" w:rsidRDefault="00981C69">
            <w:pPr>
              <w:spacing w:line="259" w:lineRule="auto"/>
              <w:ind w:left="20"/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   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[410Gm] Справка по заключению счетов бюджетного учета отчетного финансового года (местные бюджеты) имеются в междокументном контроле  предупреждения с формой 425 Справка по консолидируемым расчетам.  Все предупреждения на суммы безвозмездно переданных сумм поселениям. В форме и</w:t>
      </w:r>
      <w:r w:rsidR="00877F0B">
        <w:rPr>
          <w:rFonts w:ascii="Times New Roman" w:eastAsia="Times New Roman" w:hAnsi="Times New Roman" w:cs="Times New Roman"/>
          <w:color w:val="000000"/>
          <w:sz w:val="24"/>
          <w:szCs w:val="24"/>
        </w:rPr>
        <w:t>меются междокументные предупреж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 с 710 формой:</w:t>
      </w:r>
    </w:p>
    <w:p w:rsidR="00F0185E" w:rsidRDefault="00981C69">
      <w:pPr>
        <w:rPr>
          <w:rFonts w:ascii="Courier New" w:eastAsia="Courier New" w:hAnsi="Courier New" w:cs="Courier New"/>
        </w:rPr>
      </w:pPr>
      <w:bookmarkStart w:id="2" w:name="SF0A1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руппа правил: 6826 - Проверка 0503710G- 410Gm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Проверяемая форма: 0503710G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Тип=Сводный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2023 год (версия 30.06.2023) [57001] ФИНАНСОВОЕ УПРАВЛЕНИЕ АДМИНИСТРАЦИИ БЕЖАНИЦКОГО РАЙОНА [МР] Бюджет муниципальных районов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Проверяемая форма: 410Gm за 2023 год (версия 31.12.2023) [57001] ФИНАНСОВОЕ УПРАВЛЕНИЕ АДМИНИСТРАЦИИ БЕЖАНИЦКОГО РАЙОНА [МР] Бюджет муниципальных районов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Количество ошибок: 2, из них предупреждений: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Start w:id="3" w:name="7RU125929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правило №ФК1-43</w:t>
      </w:r>
      <w:bookmarkEnd w:id="3"/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0503710G 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гр2 Фильтр: %806Х40120251-0503710G т2 гр3 Фильтр: %806Х40120251+0503710G 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гр4 Фильтр: %806Х40120251-0503710G т2 гр5 Фильтр: %806Х40120251 = 410Gm т1 гр3 Фильтр: %197140110189-410Gm т1 гр2 Фильтр: %197140110189+410Gm т1 гр3 Фильтр: %197140110191-410Gm т1 гр2 Фильтр: %197140110191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Комментарий: Имеются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от-клонения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передачам НФА, ФА, ФО, требующие пояснений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883"/>
        <w:gridCol w:w="3439"/>
        <w:gridCol w:w="1361"/>
        <w:gridCol w:w="3872"/>
        <w:gridCol w:w="602"/>
        <w:gridCol w:w="987"/>
      </w:tblGrid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формула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документ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таблица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код строки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графа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значение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+нет строк для фильтра %806Х40120251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-нет строк для фильтра %806Х40120251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№3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+нет строк для фильтра %806Х40120251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-нет строк для фильтра %806Х40120251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№5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=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+нет строк для фильтра %197140110189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№3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-нет строк для фильтра %197140110189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+</w:t>
            </w:r>
            <w:hyperlink r:id="rId4">
              <w:r>
                <w:rPr>
                  <w:rStyle w:val="a3"/>
                  <w:rFonts w:ascii="Arial" w:eastAsia="Arial" w:hAnsi="Arial" w:cs="Arial"/>
                  <w:sz w:val="20"/>
                  <w:szCs w:val="20"/>
                  <w:shd w:val="clear" w:color="auto" w:fill="EFEFFF"/>
                </w:rPr>
                <w:t>20710050050000197140110191</w:t>
              </w:r>
            </w:hyperlink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№3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F0185E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hyperlink r:id="rId5">
              <w:r w:rsidR="00981C69">
                <w:rPr>
                  <w:rStyle w:val="a3"/>
                  <w:rFonts w:ascii="Arial" w:eastAsia="Arial" w:hAnsi="Arial" w:cs="Arial"/>
                  <w:sz w:val="20"/>
                  <w:szCs w:val="20"/>
                  <w:shd w:val="clear" w:color="auto" w:fill="EFEFFF"/>
                </w:rPr>
                <w:t>13 197,00</w:t>
              </w:r>
            </w:hyperlink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-нет строк для фильтра %197140110191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знач. слева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знач. справа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13 197,00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отклонение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shd w:val="clear" w:color="auto" w:fill="EFEFFF"/>
              </w:rPr>
              <w:t>-13 197,00</w:t>
            </w:r>
          </w:p>
        </w:tc>
      </w:tr>
    </w:tbl>
    <w:p w:rsidR="00F0185E" w:rsidRDefault="00981C69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br/>
      </w:r>
      <w:bookmarkStart w:id="4" w:name="7RU1259297"/>
      <w:r>
        <w:rPr>
          <w:rFonts w:ascii="Calibri" w:eastAsia="Calibri" w:hAnsi="Calibri" w:cs="Calibri"/>
          <w:color w:val="000000"/>
        </w:rPr>
        <w:t>правило №ФК1-44</w:t>
      </w:r>
      <w:bookmarkEnd w:id="4"/>
      <w:r>
        <w:rPr>
          <w:rFonts w:ascii="Calibri" w:eastAsia="Calibri" w:hAnsi="Calibri" w:cs="Calibri"/>
          <w:color w:val="000000"/>
        </w:rPr>
        <w:br/>
        <w:t>0503710G т</w:t>
      </w:r>
      <w:proofErr w:type="gramStart"/>
      <w:r>
        <w:rPr>
          <w:rFonts w:ascii="Calibri" w:eastAsia="Calibri" w:hAnsi="Calibri" w:cs="Calibri"/>
          <w:color w:val="000000"/>
        </w:rPr>
        <w:t>2</w:t>
      </w:r>
      <w:proofErr w:type="gramEnd"/>
      <w:r>
        <w:rPr>
          <w:rFonts w:ascii="Calibri" w:eastAsia="Calibri" w:hAnsi="Calibri" w:cs="Calibri"/>
          <w:color w:val="000000"/>
        </w:rPr>
        <w:t xml:space="preserve"> гр2 Фильтр: %806Х40120254-0503710G т2 гр3 Фильтр: %806Х40120254+0503710G т2 гр4 Фильтр: %806Х40120254-0503710G т2 </w:t>
      </w:r>
      <w:r>
        <w:rPr>
          <w:rFonts w:ascii="Calibri" w:eastAsia="Calibri" w:hAnsi="Calibri" w:cs="Calibri"/>
          <w:color w:val="000000"/>
        </w:rPr>
        <w:lastRenderedPageBreak/>
        <w:t xml:space="preserve">гр5 Фильтр: %806Х40120254 = 410Gm т1 гр3 Фильтр: %197140110195-410Gm т1 гр2 Фильтр: %197140110195 </w:t>
      </w:r>
      <w:r>
        <w:rPr>
          <w:rFonts w:ascii="Calibri" w:eastAsia="Calibri" w:hAnsi="Calibri" w:cs="Calibri"/>
          <w:color w:val="000000"/>
        </w:rPr>
        <w:br/>
        <w:t xml:space="preserve">Комментарий: Имеются </w:t>
      </w:r>
      <w:proofErr w:type="spellStart"/>
      <w:proofErr w:type="gramStart"/>
      <w:r>
        <w:rPr>
          <w:rFonts w:ascii="Calibri" w:eastAsia="Calibri" w:hAnsi="Calibri" w:cs="Calibri"/>
          <w:color w:val="000000"/>
        </w:rPr>
        <w:t>от-клонения</w:t>
      </w:r>
      <w:proofErr w:type="spellEnd"/>
      <w:proofErr w:type="gramEnd"/>
      <w:r>
        <w:rPr>
          <w:rFonts w:ascii="Calibri" w:eastAsia="Calibri" w:hAnsi="Calibri" w:cs="Calibri"/>
          <w:color w:val="000000"/>
        </w:rPr>
        <w:t xml:space="preserve"> по передачам НФА, ФА, ФО, требующие пояснений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883"/>
        <w:gridCol w:w="3439"/>
        <w:gridCol w:w="1361"/>
        <w:gridCol w:w="3872"/>
        <w:gridCol w:w="602"/>
        <w:gridCol w:w="1098"/>
      </w:tblGrid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формула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документ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таблица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код строки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графа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center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значение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+нет строк для фильтра %806Х40120254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-нет строк для фильтра %806Х40120254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№3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+нет строк для фильтра %806Х40120254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0503710G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Тип=Сводный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 xml:space="preserve">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№2 (Расходы)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-нет строк для фильтра %806Х40120254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№5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=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+</w:t>
            </w:r>
            <w:hyperlink r:id="rId6">
              <w:r>
                <w:rPr>
                  <w:rStyle w:val="a3"/>
                  <w:rFonts w:ascii="Arial" w:eastAsia="Arial" w:hAnsi="Arial" w:cs="Arial"/>
                  <w:sz w:val="20"/>
                  <w:szCs w:val="20"/>
                  <w:shd w:val="clear" w:color="auto" w:fill="EFEFFF"/>
                </w:rPr>
                <w:t>20710050050000197140110195</w:t>
              </w:r>
            </w:hyperlink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№3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F0185E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hyperlink r:id="rId7">
              <w:r w:rsidR="00981C69">
                <w:rPr>
                  <w:rStyle w:val="a3"/>
                  <w:rFonts w:ascii="Arial" w:eastAsia="Arial" w:hAnsi="Arial" w:cs="Arial"/>
                  <w:sz w:val="20"/>
                  <w:szCs w:val="20"/>
                  <w:shd w:val="clear" w:color="auto" w:fill="EFEFFF"/>
                </w:rPr>
                <w:t>834 882,51</w:t>
              </w:r>
            </w:hyperlink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410Gm за 2023 год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№1 (Доходы)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-нет строк для фильтра %197140110195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№2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знач. слева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0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знач. справа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834 882,51</w:t>
            </w:r>
          </w:p>
        </w:tc>
      </w:tr>
      <w:tr w:rsidR="00F0185E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отклонение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EFEFFF"/>
              </w:rPr>
              <w:t> </w:t>
            </w:r>
          </w:p>
        </w:tc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FE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185E" w:rsidRDefault="00981C69">
            <w:pPr>
              <w:shd w:val="clear" w:color="auto" w:fill="EFEFFF"/>
              <w:jc w:val="right"/>
              <w:rPr>
                <w:rFonts w:ascii="Courier New" w:eastAsia="Courier New" w:hAnsi="Courier New" w:cs="Courier New"/>
                <w:shd w:val="clear" w:color="auto" w:fill="EFEFFF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shd w:val="clear" w:color="auto" w:fill="EFEFFF"/>
              </w:rPr>
              <w:t>-834 882,51</w:t>
            </w:r>
          </w:p>
        </w:tc>
      </w:tr>
    </w:tbl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 передано имущество в рамках проекта "Успех каждого ребенка" по счету 106.31 на сумму 834882,51 от ГБОУ ДПО ПО "ЦОКО", а также по счету 105.36 была передана канцелярия на сумму 13197,00 .</w:t>
      </w:r>
    </w:p>
    <w:p w:rsidR="00F0185E" w:rsidRDefault="00981C69">
      <w:pPr>
        <w:spacing w:before="240" w:after="2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5 "Прочие вопросы деятельности субъекта бюджетной отчетности".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В состав годового отчета об исполнении бюджета района за 2023 год включено имущество районной казны.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Годовая отчетность об исполнении бюджета района за 2023 год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2010года №191н, Инструкции о порядке составления и представления годовой, квартальной и месячной отчетности государственных (муниципальных)</w:t>
      </w:r>
      <w:r w:rsidR="00877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бюджетных и автономных учреждений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утвержденной приказом Министерства финансов Российской Федерации от 25 марта 2011года №33н</w:t>
      </w:r>
      <w:r w:rsidR="00877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 изменениями)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учетом особенностей, предусмотренных письмом Комитета по финансам Псковской области от 22.01.2024г. №ФН-11-197 и совместным письмом  Минфина России и Федерального казначейства от 11.01.2024 года №02-06-06/950/07-04-05/02-253. Сроки годовой отчетности об исполнении бюджета района утверждены приказом Финансового управления Администрации Бежаницкого района от 26.12.2023г. №72.</w:t>
      </w:r>
    </w:p>
    <w:p w:rsidR="00F0185E" w:rsidRDefault="00981C69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Инвентаризация имущества в 2023 году проведена в пяти учреждениях, в связи с отсутствием расхождений таблица 6 "сведения о проведении инвентаризации" в составе годовой отчетности не предоставлена.</w:t>
      </w:r>
    </w:p>
    <w:p w:rsidR="00F0185E" w:rsidRDefault="00981C69">
      <w:pPr>
        <w:spacing w:before="240" w:beforeAutospacing="1" w:after="240" w:afterAutospacing="1"/>
        <w:jc w:val="both"/>
        <w:rPr>
          <w:rFonts w:ascii="Courier New" w:eastAsia="Courier New" w:hAnsi="Courier New" w:cs="Courier New"/>
        </w:rPr>
      </w:pPr>
      <w:bookmarkStart w:id="5" w:name="OLE_LINK54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ухгалтерский учет в учреждениях осуществляется в соответствии с Федеральным законом от 06.12.2011 № 402-ФЗ " О бухгалтерском учете", Федеральным законом от 12.01.1996г. № 7-ФЗ "О некоммерческих организациях",  </w:t>
      </w:r>
      <w:bookmarkStart w:id="6" w:name="OLE_LINK695"/>
      <w:bookmarkStart w:id="7" w:name="OLE_LINK696"/>
      <w:bookmarkStart w:id="8" w:name="OLE_LINK697"/>
      <w:bookmarkEnd w:id="6"/>
      <w:bookmarkEnd w:id="7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Инструкцией по бухгалтерскому учету, утвержденной приказом Министерства финансов Российской Федерации от 16 декабря 2010г. № 174н,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Инструкцией №157н от 01.12.2010г., федеральными стандартами бухгалтерского учета для организаций, утвержденными приказами Минфина России от 31 декабря 2016г. № 256н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,257н,258н, 259н,260н  и учетной политикой.  В Финансовом управлении Администрации Бежаницкого района ведётся учетная политика, которая  утверждена приказом </w:t>
      </w:r>
      <w:bookmarkStart w:id="9" w:name="OLE_LINK700"/>
      <w:bookmarkStart w:id="10" w:name="OLE_LINK702"/>
      <w:bookmarkStart w:id="11" w:name="OLE_LINK701"/>
      <w:bookmarkEnd w:id="9"/>
      <w:bookmarkEnd w:id="10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31.12.2015г. №37 (с дополнениями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изменениями)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учетная политика применяется последовательно из года в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изменениями и дополнениями, утвержденными приказами по учреждению.           </w:t>
      </w:r>
    </w:p>
    <w:p w:rsidR="00F0185E" w:rsidRDefault="00981C69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    Форма 0503295 "Сведения об исполнении судебных решений по денежным  обязательствам  учреждения" не предоставлена, отсутствуют числовые показатели.</w:t>
      </w:r>
    </w:p>
    <w:p w:rsidR="00F0185E" w:rsidRDefault="00F0185E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4761"/>
        <w:gridCol w:w="4716"/>
        <w:gridCol w:w="2267"/>
      </w:tblGrid>
      <w:tr w:rsidR="00F0185E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877F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финансового управления Администрации </w:t>
            </w:r>
          </w:p>
          <w:p w:rsidR="00877F0B" w:rsidRDefault="00877F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Бежаницкого района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Веселова О.С.</w:t>
            </w:r>
          </w:p>
        </w:tc>
      </w:tr>
      <w:tr w:rsidR="00F0185E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185E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</w:tr>
      <w:tr w:rsidR="00F0185E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185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85E" w:rsidRDefault="00981C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85E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F0B" w:rsidRDefault="00877F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фин. управления - начальник отдела </w:t>
            </w:r>
          </w:p>
          <w:p w:rsidR="00F0185E" w:rsidRDefault="00877F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бюджетного учета и отчетности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877F0B">
            <w:pPr>
              <w:rPr>
                <w:sz w:val="24"/>
              </w:rPr>
            </w:pPr>
            <w:r w:rsidRPr="00877F0B">
              <w:rPr>
                <w:sz w:val="24"/>
              </w:rPr>
              <w:drawing>
                <wp:inline distT="0" distB="0" distL="0" distR="0">
                  <wp:extent cx="2628900" cy="782955"/>
                  <wp:effectExtent l="1905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78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Стратила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В.Г.</w:t>
            </w:r>
          </w:p>
        </w:tc>
      </w:tr>
      <w:tr w:rsidR="00F0185E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F0185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185E">
        <w:trPr>
          <w:trHeight w:val="281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85E" w:rsidRDefault="00981C69" w:rsidP="00877F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="00877F0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   </w:t>
            </w:r>
            <w:r w:rsidR="0087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877F0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F0185E" w:rsidRDefault="00981C69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05.03.2024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Руководител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ВЕСЕЛОВА ОЛЬГА СЕРГЕЕВНА, Сертификат: 00C1804522E3067F18839234D0CB123E4C, Действителен: с 07.04.2023 по 30.06.2024),Главный бухгалтер(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Стратила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Валентина Георгиевна, Сертификат: 2BB8E74E59A50B88199E1637F280B41B, Действителен: с 30.03.2023 по 22.06.2024)        </w:t>
      </w:r>
    </w:p>
    <w:sectPr w:rsidR="00F0185E" w:rsidSect="00F0185E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185E"/>
    <w:rsid w:val="00497FF3"/>
    <w:rsid w:val="00877F0B"/>
    <w:rsid w:val="00981C69"/>
    <w:rsid w:val="00C42296"/>
    <w:rsid w:val="00CD2A53"/>
    <w:rsid w:val="00F0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1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0185E"/>
  </w:style>
  <w:style w:type="character" w:styleId="a3">
    <w:name w:val="Hyperlink"/>
    <w:rsid w:val="00F0185E"/>
    <w:rPr>
      <w:color w:val="0000FF"/>
      <w:u w:val="single"/>
    </w:rPr>
  </w:style>
  <w:style w:type="table" w:styleId="1">
    <w:name w:val="Table Simple 1"/>
    <w:basedOn w:val="a1"/>
    <w:rsid w:val="00F018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7F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file:///C:\Users\rf1\AppData\Local\Temp\1845519.114721.0.70021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f1\AppData\Local\Temp\1845519.114705.0.7002128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rf1\AppData\Local\Temp\1845519.114721.0.7006637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rf1\AppData\Local\Temp\1845519.114705.0.7006637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5300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rf1</dc:creator>
  <cp:lastModifiedBy>rf1</cp:lastModifiedBy>
  <cp:revision>3</cp:revision>
  <dcterms:created xsi:type="dcterms:W3CDTF">2024-03-20T08:39:00Z</dcterms:created>
  <dcterms:modified xsi:type="dcterms:W3CDTF">2024-03-20T08:44:00Z</dcterms:modified>
</cp:coreProperties>
</file>