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2" w:rsidRPr="0087398E" w:rsidRDefault="00E41102" w:rsidP="00E41102">
      <w:pPr>
        <w:pStyle w:val="a7"/>
        <w:rPr>
          <w:b/>
          <w:color w:val="1D1B11" w:themeColor="background2" w:themeShade="1A"/>
          <w:sz w:val="26"/>
          <w:szCs w:val="26"/>
        </w:rPr>
      </w:pPr>
      <w:r w:rsidRPr="0087398E">
        <w:rPr>
          <w:b/>
          <w:noProof/>
          <w:color w:val="1D1B11" w:themeColor="background2" w:themeShade="1A"/>
          <w:sz w:val="26"/>
          <w:szCs w:val="26"/>
          <w:lang w:eastAsia="ru-RU"/>
        </w:rPr>
        <w:drawing>
          <wp:inline distT="0" distB="0" distL="0" distR="0" wp14:anchorId="7F725572" wp14:editId="6044E395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02" w:rsidRPr="0087398E" w:rsidRDefault="00E41102" w:rsidP="00E41102">
      <w:pPr>
        <w:pStyle w:val="a7"/>
        <w:rPr>
          <w:b/>
          <w:color w:val="1D1B11" w:themeColor="background2" w:themeShade="1A"/>
          <w:sz w:val="26"/>
          <w:szCs w:val="26"/>
        </w:rPr>
      </w:pPr>
    </w:p>
    <w:p w:rsidR="00E41102" w:rsidRPr="0087398E" w:rsidRDefault="00E41102" w:rsidP="00E41102">
      <w:pPr>
        <w:pStyle w:val="a7"/>
        <w:rPr>
          <w:b/>
          <w:color w:val="1D1B11" w:themeColor="background2" w:themeShade="1A"/>
          <w:sz w:val="33"/>
          <w:szCs w:val="33"/>
        </w:rPr>
      </w:pPr>
      <w:r w:rsidRPr="0087398E">
        <w:rPr>
          <w:b/>
          <w:color w:val="1D1B11" w:themeColor="background2" w:themeShade="1A"/>
          <w:sz w:val="33"/>
          <w:szCs w:val="33"/>
        </w:rPr>
        <w:t>СОБРАНИЕ ДЕПУТАТОВ БЕЖАНИЦКОГО РАЙОНА</w:t>
      </w:r>
    </w:p>
    <w:p w:rsidR="00E41102" w:rsidRPr="0087398E" w:rsidRDefault="00E41102" w:rsidP="00E41102">
      <w:pPr>
        <w:jc w:val="center"/>
        <w:rPr>
          <w:b/>
          <w:color w:val="1D1B11" w:themeColor="background2" w:themeShade="1A"/>
          <w:sz w:val="33"/>
          <w:szCs w:val="33"/>
        </w:rPr>
      </w:pPr>
    </w:p>
    <w:p w:rsidR="00E41102" w:rsidRPr="0087398E" w:rsidRDefault="00E41102" w:rsidP="00E41102">
      <w:pPr>
        <w:jc w:val="center"/>
        <w:rPr>
          <w:color w:val="1D1B11" w:themeColor="background2" w:themeShade="1A"/>
          <w:sz w:val="33"/>
          <w:szCs w:val="33"/>
        </w:rPr>
      </w:pPr>
      <w:proofErr w:type="gramStart"/>
      <w:r w:rsidRPr="0087398E">
        <w:rPr>
          <w:b/>
          <w:color w:val="1D1B11" w:themeColor="background2" w:themeShade="1A"/>
          <w:sz w:val="33"/>
          <w:szCs w:val="33"/>
        </w:rPr>
        <w:t>Р</w:t>
      </w:r>
      <w:proofErr w:type="gramEnd"/>
      <w:r w:rsidRPr="0087398E">
        <w:rPr>
          <w:b/>
          <w:color w:val="1D1B11" w:themeColor="background2" w:themeShade="1A"/>
          <w:sz w:val="33"/>
          <w:szCs w:val="33"/>
        </w:rPr>
        <w:t xml:space="preserve"> Е Ш Е Н И Е</w:t>
      </w:r>
    </w:p>
    <w:p w:rsidR="00E41102" w:rsidRPr="0087398E" w:rsidRDefault="00E41102" w:rsidP="00E41102">
      <w:pPr>
        <w:jc w:val="center"/>
        <w:rPr>
          <w:color w:val="1D1B11" w:themeColor="background2" w:themeShade="1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87398E" w:rsidRPr="0087398E" w:rsidTr="00CC15C9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E41102" w:rsidRPr="0087398E" w:rsidRDefault="00E41102" w:rsidP="0087398E">
            <w:pPr>
              <w:pStyle w:val="8"/>
              <w:numPr>
                <w:ilvl w:val="7"/>
                <w:numId w:val="2"/>
              </w:numPr>
              <w:spacing w:before="0" w:after="0"/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i w:val="0"/>
                <w:color w:val="1D1B11" w:themeColor="background2" w:themeShade="1A"/>
                <w:sz w:val="26"/>
                <w:szCs w:val="26"/>
              </w:rPr>
              <w:t xml:space="preserve">от  </w:t>
            </w:r>
            <w:r w:rsidR="0087398E" w:rsidRPr="0087398E">
              <w:rPr>
                <w:i w:val="0"/>
                <w:color w:val="1D1B11" w:themeColor="background2" w:themeShade="1A"/>
                <w:sz w:val="26"/>
                <w:szCs w:val="26"/>
              </w:rPr>
              <w:t>19</w:t>
            </w:r>
            <w:r w:rsidRPr="0087398E">
              <w:rPr>
                <w:i w:val="0"/>
                <w:color w:val="1D1B11" w:themeColor="background2" w:themeShade="1A"/>
                <w:sz w:val="26"/>
                <w:szCs w:val="26"/>
              </w:rPr>
              <w:t>.</w:t>
            </w:r>
            <w:r w:rsidR="0087398E" w:rsidRPr="0087398E">
              <w:rPr>
                <w:i w:val="0"/>
                <w:color w:val="1D1B11" w:themeColor="background2" w:themeShade="1A"/>
                <w:sz w:val="26"/>
                <w:szCs w:val="26"/>
              </w:rPr>
              <w:t xml:space="preserve"> </w:t>
            </w:r>
            <w:r w:rsidRPr="0087398E">
              <w:rPr>
                <w:i w:val="0"/>
                <w:color w:val="1D1B11" w:themeColor="background2" w:themeShade="1A"/>
                <w:sz w:val="26"/>
                <w:szCs w:val="26"/>
              </w:rPr>
              <w:t>06.</w:t>
            </w:r>
            <w:r w:rsidR="0087398E" w:rsidRPr="0087398E">
              <w:rPr>
                <w:i w:val="0"/>
                <w:color w:val="1D1B11" w:themeColor="background2" w:themeShade="1A"/>
                <w:sz w:val="26"/>
                <w:szCs w:val="26"/>
              </w:rPr>
              <w:t xml:space="preserve"> </w:t>
            </w:r>
            <w:r w:rsidRPr="0087398E">
              <w:rPr>
                <w:i w:val="0"/>
                <w:color w:val="1D1B11" w:themeColor="background2" w:themeShade="1A"/>
                <w:sz w:val="26"/>
                <w:szCs w:val="26"/>
              </w:rPr>
              <w:t xml:space="preserve">2018 г.  № </w:t>
            </w:r>
            <w:r w:rsidR="00CD284B">
              <w:rPr>
                <w:i w:val="0"/>
                <w:color w:val="1D1B11" w:themeColor="background2" w:themeShade="1A"/>
                <w:sz w:val="26"/>
                <w:szCs w:val="26"/>
              </w:rPr>
              <w:t>48</w:t>
            </w:r>
          </w:p>
        </w:tc>
      </w:tr>
    </w:tbl>
    <w:p w:rsidR="0087398E" w:rsidRPr="0087398E" w:rsidRDefault="00E41102" w:rsidP="00E41102">
      <w:pPr>
        <w:pStyle w:val="8"/>
        <w:numPr>
          <w:ilvl w:val="7"/>
          <w:numId w:val="2"/>
        </w:numPr>
        <w:spacing w:before="0" w:after="0"/>
        <w:rPr>
          <w:i w:val="0"/>
          <w:color w:val="1D1B11" w:themeColor="background2" w:themeShade="1A"/>
          <w:sz w:val="22"/>
          <w:szCs w:val="22"/>
        </w:rPr>
      </w:pPr>
      <w:proofErr w:type="gramStart"/>
      <w:r w:rsidRPr="0087398E">
        <w:rPr>
          <w:i w:val="0"/>
          <w:color w:val="1D1B11" w:themeColor="background2" w:themeShade="1A"/>
          <w:sz w:val="22"/>
          <w:szCs w:val="22"/>
        </w:rPr>
        <w:t xml:space="preserve">(принято на </w:t>
      </w:r>
      <w:r w:rsidR="0087398E" w:rsidRPr="0087398E">
        <w:rPr>
          <w:i w:val="0"/>
          <w:color w:val="1D1B11" w:themeColor="background2" w:themeShade="1A"/>
          <w:sz w:val="22"/>
          <w:szCs w:val="22"/>
        </w:rPr>
        <w:t>7-й</w:t>
      </w:r>
      <w:r w:rsidRPr="0087398E">
        <w:rPr>
          <w:i w:val="0"/>
          <w:color w:val="1D1B11" w:themeColor="background2" w:themeShade="1A"/>
          <w:sz w:val="22"/>
          <w:szCs w:val="22"/>
        </w:rPr>
        <w:t xml:space="preserve"> сессии </w:t>
      </w:r>
      <w:proofErr w:type="gramEnd"/>
    </w:p>
    <w:p w:rsidR="0087398E" w:rsidRPr="0087398E" w:rsidRDefault="0087398E" w:rsidP="00E41102">
      <w:pPr>
        <w:pStyle w:val="8"/>
        <w:numPr>
          <w:ilvl w:val="7"/>
          <w:numId w:val="2"/>
        </w:numPr>
        <w:spacing w:before="0" w:after="0"/>
        <w:rPr>
          <w:color w:val="1D1B11" w:themeColor="background2" w:themeShade="1A"/>
          <w:sz w:val="22"/>
          <w:szCs w:val="22"/>
        </w:rPr>
      </w:pPr>
      <w:r w:rsidRPr="0087398E">
        <w:rPr>
          <w:i w:val="0"/>
          <w:color w:val="1D1B11" w:themeColor="background2" w:themeShade="1A"/>
          <w:sz w:val="22"/>
          <w:szCs w:val="22"/>
        </w:rPr>
        <w:t xml:space="preserve"> </w:t>
      </w:r>
      <w:r w:rsidR="00E41102" w:rsidRPr="0087398E">
        <w:rPr>
          <w:i w:val="0"/>
          <w:color w:val="1D1B11" w:themeColor="background2" w:themeShade="1A"/>
          <w:sz w:val="22"/>
          <w:szCs w:val="22"/>
        </w:rPr>
        <w:t xml:space="preserve">Собрания депутатов </w:t>
      </w:r>
    </w:p>
    <w:p w:rsidR="00E41102" w:rsidRPr="0087398E" w:rsidRDefault="0087398E" w:rsidP="00E41102">
      <w:pPr>
        <w:pStyle w:val="8"/>
        <w:numPr>
          <w:ilvl w:val="7"/>
          <w:numId w:val="2"/>
        </w:numPr>
        <w:spacing w:before="0" w:after="0"/>
        <w:rPr>
          <w:color w:val="1D1B11" w:themeColor="background2" w:themeShade="1A"/>
          <w:sz w:val="22"/>
          <w:szCs w:val="22"/>
        </w:rPr>
      </w:pPr>
      <w:r w:rsidRPr="0087398E">
        <w:rPr>
          <w:i w:val="0"/>
          <w:color w:val="1D1B11" w:themeColor="background2" w:themeShade="1A"/>
          <w:sz w:val="22"/>
          <w:szCs w:val="22"/>
        </w:rPr>
        <w:t xml:space="preserve">шестого </w:t>
      </w:r>
      <w:r w:rsidR="00E41102" w:rsidRPr="0087398E">
        <w:rPr>
          <w:i w:val="0"/>
          <w:color w:val="1D1B11" w:themeColor="background2" w:themeShade="1A"/>
          <w:sz w:val="22"/>
          <w:szCs w:val="22"/>
        </w:rPr>
        <w:t>созыва)</w:t>
      </w:r>
    </w:p>
    <w:p w:rsidR="00E41102" w:rsidRPr="0087398E" w:rsidRDefault="00E41102" w:rsidP="00E41102">
      <w:pPr>
        <w:rPr>
          <w:color w:val="1D1B11" w:themeColor="background2" w:themeShade="1A"/>
          <w:sz w:val="6"/>
          <w:szCs w:val="6"/>
        </w:rPr>
      </w:pPr>
    </w:p>
    <w:p w:rsidR="00E41102" w:rsidRPr="0087398E" w:rsidRDefault="00E41102" w:rsidP="00E41102">
      <w:pPr>
        <w:rPr>
          <w:color w:val="1D1B11" w:themeColor="background2" w:themeShade="1A"/>
          <w:sz w:val="22"/>
          <w:szCs w:val="22"/>
        </w:rPr>
      </w:pPr>
      <w:r w:rsidRPr="0087398E">
        <w:rPr>
          <w:color w:val="1D1B11" w:themeColor="background2" w:themeShade="1A"/>
          <w:sz w:val="22"/>
          <w:szCs w:val="22"/>
        </w:rPr>
        <w:t xml:space="preserve">      </w:t>
      </w:r>
      <w:proofErr w:type="spellStart"/>
      <w:r w:rsidR="0087398E" w:rsidRPr="0087398E">
        <w:rPr>
          <w:color w:val="1D1B11" w:themeColor="background2" w:themeShade="1A"/>
          <w:sz w:val="22"/>
          <w:szCs w:val="22"/>
        </w:rPr>
        <w:t>р</w:t>
      </w:r>
      <w:r w:rsidRPr="0087398E">
        <w:rPr>
          <w:color w:val="1D1B11" w:themeColor="background2" w:themeShade="1A"/>
          <w:sz w:val="22"/>
          <w:szCs w:val="22"/>
        </w:rPr>
        <w:t>п</w:t>
      </w:r>
      <w:proofErr w:type="spellEnd"/>
      <w:r w:rsidRPr="0087398E">
        <w:rPr>
          <w:color w:val="1D1B11" w:themeColor="background2" w:themeShade="1A"/>
          <w:sz w:val="22"/>
          <w:szCs w:val="22"/>
        </w:rPr>
        <w:t>. Бежаницы</w:t>
      </w:r>
    </w:p>
    <w:p w:rsidR="00E41102" w:rsidRPr="0087398E" w:rsidRDefault="00E41102" w:rsidP="00E41102">
      <w:pPr>
        <w:ind w:firstLine="540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shd w:val="clear" w:color="auto" w:fill="FFFFFF"/>
        <w:jc w:val="both"/>
        <w:rPr>
          <w:color w:val="1D1B11" w:themeColor="background2" w:themeShade="1A"/>
          <w:spacing w:val="2"/>
          <w:sz w:val="26"/>
          <w:szCs w:val="26"/>
        </w:rPr>
      </w:pPr>
    </w:p>
    <w:p w:rsidR="0087398E" w:rsidRDefault="0087398E" w:rsidP="0087398E">
      <w:pPr>
        <w:shd w:val="clear" w:color="auto" w:fill="FFFFFF"/>
        <w:jc w:val="center"/>
        <w:rPr>
          <w:color w:val="1D1B11" w:themeColor="background2" w:themeShade="1A"/>
          <w:spacing w:val="2"/>
          <w:sz w:val="26"/>
          <w:szCs w:val="26"/>
        </w:rPr>
      </w:pPr>
      <w:r w:rsidRPr="0087398E">
        <w:rPr>
          <w:color w:val="1D1B11" w:themeColor="background2" w:themeShade="1A"/>
          <w:spacing w:val="2"/>
          <w:sz w:val="26"/>
          <w:szCs w:val="26"/>
        </w:rPr>
        <w:t>Об утверждении Порядка предоставления муниципальных гарантий</w:t>
      </w:r>
    </w:p>
    <w:p w:rsidR="00982911" w:rsidRPr="0087398E" w:rsidRDefault="0087398E" w:rsidP="0087398E">
      <w:pPr>
        <w:shd w:val="clear" w:color="auto" w:fill="FFFFFF"/>
        <w:jc w:val="center"/>
        <w:rPr>
          <w:color w:val="1D1B11" w:themeColor="background2" w:themeShade="1A"/>
          <w:spacing w:val="2"/>
          <w:sz w:val="26"/>
          <w:szCs w:val="26"/>
        </w:rPr>
      </w:pPr>
      <w:r w:rsidRPr="0087398E">
        <w:rPr>
          <w:color w:val="1D1B11" w:themeColor="background2" w:themeShade="1A"/>
          <w:spacing w:val="2"/>
          <w:sz w:val="26"/>
          <w:szCs w:val="26"/>
        </w:rPr>
        <w:t>по инвестиционным проектам за счет средств бюджета МО «Бежаницкий район»</w:t>
      </w:r>
    </w:p>
    <w:p w:rsidR="00982911" w:rsidRPr="0087398E" w:rsidRDefault="00982911" w:rsidP="001F3137">
      <w:pPr>
        <w:shd w:val="clear" w:color="auto" w:fill="FFFFFF"/>
        <w:jc w:val="both"/>
        <w:rPr>
          <w:color w:val="1D1B11" w:themeColor="background2" w:themeShade="1A"/>
          <w:spacing w:val="2"/>
          <w:sz w:val="26"/>
          <w:szCs w:val="26"/>
        </w:rPr>
      </w:pPr>
    </w:p>
    <w:p w:rsidR="00E41102" w:rsidRPr="0087398E" w:rsidRDefault="00E41102" w:rsidP="001F3137">
      <w:pPr>
        <w:shd w:val="clear" w:color="auto" w:fill="FFFFFF"/>
        <w:jc w:val="both"/>
        <w:rPr>
          <w:color w:val="1D1B11" w:themeColor="background2" w:themeShade="1A"/>
          <w:spacing w:val="2"/>
          <w:sz w:val="26"/>
          <w:szCs w:val="26"/>
        </w:rPr>
      </w:pPr>
    </w:p>
    <w:p w:rsidR="001F3137" w:rsidRPr="0087398E" w:rsidRDefault="001F3137" w:rsidP="0087398E">
      <w:pPr>
        <w:pStyle w:val="a5"/>
        <w:spacing w:line="240" w:lineRule="auto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ab/>
      </w:r>
      <w:r w:rsidR="0087398E" w:rsidRPr="0087398E">
        <w:rPr>
          <w:color w:val="1D1B11" w:themeColor="background2" w:themeShade="1A"/>
          <w:sz w:val="26"/>
          <w:szCs w:val="26"/>
        </w:rPr>
        <w:t xml:space="preserve">В соответствии со статьями 115, 115.2 и 117 Бюджетного кодекса Российской Федерации, </w:t>
      </w:r>
      <w:r w:rsidRPr="0087398E">
        <w:rPr>
          <w:color w:val="1D1B11" w:themeColor="background2" w:themeShade="1A"/>
          <w:sz w:val="26"/>
          <w:szCs w:val="26"/>
        </w:rPr>
        <w:t>пункт</w:t>
      </w:r>
      <w:r w:rsidR="0087398E" w:rsidRPr="0087398E">
        <w:rPr>
          <w:color w:val="1D1B11" w:themeColor="background2" w:themeShade="1A"/>
          <w:sz w:val="26"/>
          <w:szCs w:val="26"/>
        </w:rPr>
        <w:t>ом</w:t>
      </w:r>
      <w:r w:rsidRPr="0087398E">
        <w:rPr>
          <w:color w:val="1D1B11" w:themeColor="background2" w:themeShade="1A"/>
          <w:sz w:val="26"/>
          <w:szCs w:val="26"/>
        </w:rPr>
        <w:t xml:space="preserve"> 2 статьи 19 Федерального закона от 25.02.1999 № 39-ФЗ «Об инвестиционной деятельности в Российской Федерации, осуществляемой в форме капитальных вложений», </w:t>
      </w:r>
      <w:r w:rsidR="0087398E" w:rsidRPr="0087398E">
        <w:rPr>
          <w:color w:val="1D1B11" w:themeColor="background2" w:themeShade="1A"/>
          <w:sz w:val="26"/>
          <w:szCs w:val="26"/>
        </w:rPr>
        <w:t xml:space="preserve">руководствуясь ст. 21 Устава муниципального образования «Бежаницкий район» Псковской области, </w:t>
      </w:r>
      <w:r w:rsidRPr="0087398E">
        <w:rPr>
          <w:bCs/>
          <w:color w:val="1D1B11" w:themeColor="background2" w:themeShade="1A"/>
          <w:sz w:val="26"/>
          <w:szCs w:val="26"/>
        </w:rPr>
        <w:t xml:space="preserve">Собрание депутатов </w:t>
      </w:r>
      <w:r w:rsidR="00E41102" w:rsidRPr="0087398E">
        <w:rPr>
          <w:bCs/>
          <w:color w:val="1D1B11" w:themeColor="background2" w:themeShade="1A"/>
          <w:sz w:val="26"/>
          <w:szCs w:val="26"/>
        </w:rPr>
        <w:t>Бежаницкого</w:t>
      </w:r>
      <w:r w:rsidRPr="0087398E">
        <w:rPr>
          <w:bCs/>
          <w:color w:val="1D1B11" w:themeColor="background2" w:themeShade="1A"/>
          <w:sz w:val="26"/>
          <w:szCs w:val="26"/>
        </w:rPr>
        <w:t xml:space="preserve"> района</w:t>
      </w:r>
      <w:r w:rsidR="0087398E" w:rsidRPr="0087398E">
        <w:rPr>
          <w:bCs/>
          <w:color w:val="1D1B11" w:themeColor="background2" w:themeShade="1A"/>
          <w:sz w:val="26"/>
          <w:szCs w:val="26"/>
        </w:rPr>
        <w:t xml:space="preserve"> </w:t>
      </w:r>
      <w:r w:rsidRPr="0087398E">
        <w:rPr>
          <w:bCs/>
          <w:color w:val="1D1B11" w:themeColor="background2" w:themeShade="1A"/>
          <w:sz w:val="26"/>
          <w:szCs w:val="26"/>
        </w:rPr>
        <w:t>РЕШИЛО:</w:t>
      </w:r>
    </w:p>
    <w:p w:rsidR="001F3137" w:rsidRPr="0087398E" w:rsidRDefault="001F3137" w:rsidP="001F3137">
      <w:pPr>
        <w:pStyle w:val="10"/>
        <w:spacing w:after="0" w:line="240" w:lineRule="auto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ab/>
        <w:t>1. Утвердить прилагаемый порядок предоставления муниципальных гарантий по инвестиционным проектам за счет средств бюджета муниципального образования «</w:t>
      </w:r>
      <w:r w:rsidR="00E41102" w:rsidRPr="0087398E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Бежаницкий</w:t>
      </w:r>
      <w:r w:rsidRPr="0087398E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район».</w:t>
      </w:r>
    </w:p>
    <w:p w:rsidR="00E41102" w:rsidRPr="0087398E" w:rsidRDefault="00982911" w:rsidP="00982911">
      <w:pPr>
        <w:autoSpaceDE w:val="0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  <w:shd w:val="clear" w:color="auto" w:fill="FFFFFF"/>
        </w:rPr>
        <w:tab/>
        <w:t>2</w:t>
      </w:r>
      <w:r w:rsidR="001F3137" w:rsidRPr="0087398E">
        <w:rPr>
          <w:color w:val="1D1B11" w:themeColor="background2" w:themeShade="1A"/>
          <w:sz w:val="26"/>
          <w:szCs w:val="26"/>
          <w:lang w:eastAsia="ru-RU"/>
        </w:rPr>
        <w:t xml:space="preserve">. </w:t>
      </w:r>
      <w:r w:rsidR="00E41102" w:rsidRPr="0087398E">
        <w:rPr>
          <w:color w:val="1D1B11" w:themeColor="background2" w:themeShade="1A"/>
          <w:sz w:val="26"/>
          <w:szCs w:val="26"/>
        </w:rPr>
        <w:t xml:space="preserve">Опубликовать настоящее решение в газете «Сельская новь» и </w:t>
      </w:r>
      <w:r w:rsidR="0087398E" w:rsidRPr="0087398E">
        <w:rPr>
          <w:color w:val="1D1B11" w:themeColor="background2" w:themeShade="1A"/>
          <w:sz w:val="26"/>
          <w:szCs w:val="26"/>
        </w:rPr>
        <w:t xml:space="preserve">разместить </w:t>
      </w:r>
      <w:r w:rsidR="00E41102" w:rsidRPr="0087398E">
        <w:rPr>
          <w:color w:val="1D1B11" w:themeColor="background2" w:themeShade="1A"/>
          <w:sz w:val="26"/>
          <w:szCs w:val="26"/>
        </w:rPr>
        <w:t xml:space="preserve">на официальном сайте муниципального образования «Бежаницкий район» </w:t>
      </w:r>
      <w:hyperlink r:id="rId7" w:history="1">
        <w:r w:rsidR="00E41102" w:rsidRPr="0087398E">
          <w:rPr>
            <w:rStyle w:val="a3"/>
            <w:rFonts w:eastAsia="Microsoft YaHei"/>
            <w:color w:val="1D1B11" w:themeColor="background2" w:themeShade="1A"/>
            <w:sz w:val="26"/>
            <w:szCs w:val="26"/>
            <w:u w:val="none"/>
          </w:rPr>
          <w:t>http://bezhanicy.reg60.ru</w:t>
        </w:r>
      </w:hyperlink>
      <w:r w:rsidR="00E41102" w:rsidRPr="0087398E">
        <w:rPr>
          <w:color w:val="1D1B11" w:themeColor="background2" w:themeShade="1A"/>
          <w:sz w:val="26"/>
          <w:szCs w:val="26"/>
        </w:rPr>
        <w:t xml:space="preserve"> в </w:t>
      </w:r>
      <w:r w:rsidR="0087398E" w:rsidRPr="0087398E">
        <w:rPr>
          <w:color w:val="1D1B11" w:themeColor="background2" w:themeShade="1A"/>
          <w:sz w:val="26"/>
          <w:szCs w:val="26"/>
        </w:rPr>
        <w:t xml:space="preserve">информационно-телекоммуникационной </w:t>
      </w:r>
      <w:r w:rsidR="00E41102" w:rsidRPr="0087398E">
        <w:rPr>
          <w:color w:val="1D1B11" w:themeColor="background2" w:themeShade="1A"/>
          <w:sz w:val="26"/>
          <w:szCs w:val="26"/>
        </w:rPr>
        <w:t>сети «Интернет».</w:t>
      </w:r>
    </w:p>
    <w:p w:rsidR="001F3137" w:rsidRPr="0087398E" w:rsidRDefault="00982911" w:rsidP="00E41102">
      <w:pPr>
        <w:autoSpaceDE w:val="0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  <w:shd w:val="clear" w:color="auto" w:fill="FFFFFF"/>
        </w:rPr>
        <w:t xml:space="preserve">            3. Настоящее решение вступает в силу после его официального опубликования.</w:t>
      </w:r>
    </w:p>
    <w:p w:rsidR="001F3137" w:rsidRPr="0087398E" w:rsidRDefault="001F3137" w:rsidP="001F3137">
      <w:pPr>
        <w:rPr>
          <w:color w:val="1D1B11" w:themeColor="background2" w:themeShade="1A"/>
          <w:sz w:val="26"/>
          <w:szCs w:val="26"/>
        </w:rPr>
      </w:pPr>
    </w:p>
    <w:p w:rsidR="00982911" w:rsidRPr="0087398E" w:rsidRDefault="00982911" w:rsidP="001F3137">
      <w:pPr>
        <w:rPr>
          <w:color w:val="1D1B11" w:themeColor="background2" w:themeShade="1A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87398E" w:rsidRPr="0087398E" w:rsidTr="008E0565">
        <w:tc>
          <w:tcPr>
            <w:tcW w:w="4962" w:type="dxa"/>
          </w:tcPr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color w:val="1D1B11" w:themeColor="background2" w:themeShade="1A"/>
                <w:sz w:val="26"/>
                <w:szCs w:val="26"/>
              </w:rPr>
              <w:t>Председатель Собрания</w:t>
            </w: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color w:val="1D1B11" w:themeColor="background2" w:themeShade="1A"/>
                <w:sz w:val="26"/>
                <w:szCs w:val="26"/>
              </w:rPr>
              <w:t>депутатов Бежаницкого района</w:t>
            </w: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color w:val="1D1B11" w:themeColor="background2" w:themeShade="1A"/>
                <w:sz w:val="26"/>
                <w:szCs w:val="26"/>
              </w:rPr>
              <w:t>_____________ А.В. Куров</w:t>
            </w:r>
          </w:p>
        </w:tc>
        <w:tc>
          <w:tcPr>
            <w:tcW w:w="4536" w:type="dxa"/>
          </w:tcPr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color w:val="1D1B11" w:themeColor="background2" w:themeShade="1A"/>
                <w:sz w:val="26"/>
                <w:szCs w:val="26"/>
              </w:rPr>
              <w:t>Глава Бежаницкого района</w:t>
            </w: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</w:p>
          <w:p w:rsidR="0087398E" w:rsidRPr="0087398E" w:rsidRDefault="0087398E" w:rsidP="008E0565">
            <w:pPr>
              <w:rPr>
                <w:color w:val="1D1B11" w:themeColor="background2" w:themeShade="1A"/>
                <w:sz w:val="26"/>
                <w:szCs w:val="26"/>
              </w:rPr>
            </w:pPr>
            <w:r w:rsidRPr="0087398E">
              <w:rPr>
                <w:color w:val="1D1B11" w:themeColor="background2" w:themeShade="1A"/>
                <w:sz w:val="26"/>
                <w:szCs w:val="26"/>
              </w:rPr>
              <w:t>___________ С.К. Михеев</w:t>
            </w:r>
          </w:p>
        </w:tc>
      </w:tr>
    </w:tbl>
    <w:p w:rsidR="0087398E" w:rsidRPr="0087398E" w:rsidRDefault="0087398E" w:rsidP="0087398E">
      <w:pPr>
        <w:jc w:val="both"/>
        <w:rPr>
          <w:color w:val="1D1B11" w:themeColor="background2" w:themeShade="1A"/>
          <w:sz w:val="26"/>
          <w:szCs w:val="26"/>
        </w:rPr>
      </w:pPr>
    </w:p>
    <w:p w:rsidR="00982911" w:rsidRPr="0087398E" w:rsidRDefault="00982911" w:rsidP="00982911">
      <w:pPr>
        <w:spacing w:after="200" w:line="240" w:lineRule="exact"/>
        <w:jc w:val="both"/>
        <w:rPr>
          <w:rFonts w:ascii="Arial CYR" w:hAnsi="Arial CYR" w:cs="Arial CYR"/>
          <w:bCs/>
          <w:color w:val="1D1B11" w:themeColor="background2" w:themeShade="1A"/>
          <w:sz w:val="26"/>
          <w:szCs w:val="26"/>
        </w:rPr>
      </w:pPr>
    </w:p>
    <w:p w:rsidR="00982911" w:rsidRPr="0087398E" w:rsidRDefault="00982911" w:rsidP="00982911">
      <w:pPr>
        <w:spacing w:after="200" w:line="240" w:lineRule="exact"/>
        <w:jc w:val="both"/>
        <w:rPr>
          <w:rFonts w:ascii="Arial CYR" w:hAnsi="Arial CYR" w:cs="Arial CYR"/>
          <w:bCs/>
          <w:color w:val="1D1B11" w:themeColor="background2" w:themeShade="1A"/>
          <w:sz w:val="26"/>
          <w:szCs w:val="26"/>
        </w:rPr>
      </w:pPr>
    </w:p>
    <w:p w:rsidR="0087398E" w:rsidRDefault="0087398E">
      <w:pPr>
        <w:widowControl/>
        <w:suppressAutoHyphens w:val="0"/>
        <w:spacing w:after="200" w:line="276" w:lineRule="auto"/>
        <w:rPr>
          <w:rFonts w:ascii="Arial CYR" w:hAnsi="Arial CYR" w:cs="Arial CYR"/>
          <w:bCs/>
          <w:color w:val="1D1B11" w:themeColor="background2" w:themeShade="1A"/>
          <w:sz w:val="26"/>
          <w:szCs w:val="26"/>
        </w:rPr>
      </w:pPr>
      <w:r>
        <w:rPr>
          <w:rFonts w:ascii="Arial CYR" w:hAnsi="Arial CYR" w:cs="Arial CYR"/>
          <w:bCs/>
          <w:color w:val="1D1B11" w:themeColor="background2" w:themeShade="1A"/>
          <w:sz w:val="26"/>
          <w:szCs w:val="26"/>
        </w:rPr>
        <w:br w:type="page"/>
      </w:r>
    </w:p>
    <w:p w:rsidR="001F3137" w:rsidRPr="0087398E" w:rsidRDefault="0087398E" w:rsidP="001F3137">
      <w:pPr>
        <w:jc w:val="right"/>
        <w:rPr>
          <w:color w:val="1D1B11" w:themeColor="background2" w:themeShade="1A"/>
          <w:sz w:val="26"/>
          <w:szCs w:val="26"/>
        </w:rPr>
      </w:pPr>
      <w:r>
        <w:rPr>
          <w:color w:val="1D1B11" w:themeColor="background2" w:themeShade="1A"/>
          <w:sz w:val="26"/>
          <w:szCs w:val="26"/>
        </w:rPr>
        <w:lastRenderedPageBreak/>
        <w:t>УТВЕРЖДЕН</w:t>
      </w:r>
    </w:p>
    <w:p w:rsidR="001F3137" w:rsidRPr="0087398E" w:rsidRDefault="001F3137" w:rsidP="001F3137">
      <w:pPr>
        <w:jc w:val="right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решени</w:t>
      </w:r>
      <w:r w:rsidR="0087398E">
        <w:rPr>
          <w:color w:val="1D1B11" w:themeColor="background2" w:themeShade="1A"/>
          <w:sz w:val="26"/>
          <w:szCs w:val="26"/>
        </w:rPr>
        <w:t>ем</w:t>
      </w:r>
      <w:r w:rsidRPr="0087398E">
        <w:rPr>
          <w:color w:val="1D1B11" w:themeColor="background2" w:themeShade="1A"/>
          <w:sz w:val="26"/>
          <w:szCs w:val="26"/>
        </w:rPr>
        <w:t xml:space="preserve"> Собрания депутатов</w:t>
      </w:r>
    </w:p>
    <w:p w:rsidR="001F3137" w:rsidRPr="0087398E" w:rsidRDefault="00857F48" w:rsidP="001F3137">
      <w:pPr>
        <w:jc w:val="right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Бежаницкого</w:t>
      </w:r>
      <w:r w:rsidR="001F3137" w:rsidRPr="0087398E">
        <w:rPr>
          <w:color w:val="1D1B11" w:themeColor="background2" w:themeShade="1A"/>
          <w:sz w:val="26"/>
          <w:szCs w:val="26"/>
        </w:rPr>
        <w:t xml:space="preserve"> района</w:t>
      </w:r>
    </w:p>
    <w:p w:rsidR="001F3137" w:rsidRPr="0087398E" w:rsidRDefault="001F3137" w:rsidP="001F3137">
      <w:pPr>
        <w:jc w:val="right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от </w:t>
      </w:r>
      <w:r w:rsidR="0087398E">
        <w:rPr>
          <w:color w:val="1D1B11" w:themeColor="background2" w:themeShade="1A"/>
          <w:sz w:val="26"/>
          <w:szCs w:val="26"/>
        </w:rPr>
        <w:t xml:space="preserve">19.06.2018 г. </w:t>
      </w:r>
      <w:r w:rsidRPr="0087398E">
        <w:rPr>
          <w:color w:val="1D1B11" w:themeColor="background2" w:themeShade="1A"/>
          <w:sz w:val="26"/>
          <w:szCs w:val="26"/>
        </w:rPr>
        <w:t xml:space="preserve">№ </w:t>
      </w:r>
      <w:r w:rsidR="00CD284B">
        <w:rPr>
          <w:color w:val="1D1B11" w:themeColor="background2" w:themeShade="1A"/>
          <w:sz w:val="26"/>
          <w:szCs w:val="26"/>
        </w:rPr>
        <w:t>48</w:t>
      </w:r>
      <w:bookmarkStart w:id="0" w:name="_GoBack"/>
      <w:bookmarkEnd w:id="0"/>
    </w:p>
    <w:p w:rsidR="001F3137" w:rsidRPr="0087398E" w:rsidRDefault="001F3137" w:rsidP="001F3137">
      <w:pPr>
        <w:jc w:val="right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jc w:val="right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jc w:val="center"/>
        <w:rPr>
          <w:color w:val="1D1B11" w:themeColor="background2" w:themeShade="1A"/>
          <w:sz w:val="26"/>
          <w:szCs w:val="26"/>
        </w:rPr>
      </w:pPr>
      <w:proofErr w:type="gramStart"/>
      <w:r w:rsidRPr="0087398E">
        <w:rPr>
          <w:b/>
          <w:color w:val="1D1B11" w:themeColor="background2" w:themeShade="1A"/>
          <w:sz w:val="26"/>
          <w:szCs w:val="26"/>
        </w:rPr>
        <w:t>П</w:t>
      </w:r>
      <w:proofErr w:type="gramEnd"/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О</w:t>
      </w:r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Р</w:t>
      </w:r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Я</w:t>
      </w:r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Д</w:t>
      </w:r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О</w:t>
      </w:r>
      <w:r w:rsidR="0087398E">
        <w:rPr>
          <w:b/>
          <w:color w:val="1D1B11" w:themeColor="background2" w:themeShade="1A"/>
          <w:sz w:val="26"/>
          <w:szCs w:val="26"/>
        </w:rPr>
        <w:t xml:space="preserve"> </w:t>
      </w:r>
      <w:r w:rsidRPr="0087398E">
        <w:rPr>
          <w:b/>
          <w:color w:val="1D1B11" w:themeColor="background2" w:themeShade="1A"/>
          <w:sz w:val="26"/>
          <w:szCs w:val="26"/>
        </w:rPr>
        <w:t>К</w:t>
      </w:r>
    </w:p>
    <w:p w:rsidR="0087398E" w:rsidRDefault="001F3137" w:rsidP="001F3137">
      <w:pPr>
        <w:jc w:val="center"/>
        <w:rPr>
          <w:b/>
          <w:color w:val="1D1B11" w:themeColor="background2" w:themeShade="1A"/>
          <w:sz w:val="26"/>
          <w:szCs w:val="26"/>
        </w:rPr>
      </w:pPr>
      <w:r w:rsidRPr="0087398E">
        <w:rPr>
          <w:b/>
          <w:color w:val="1D1B11" w:themeColor="background2" w:themeShade="1A"/>
          <w:sz w:val="26"/>
          <w:szCs w:val="26"/>
        </w:rPr>
        <w:t>предоставления муниципальных гарантий по инвестиционным проектам</w:t>
      </w:r>
    </w:p>
    <w:p w:rsidR="001F3137" w:rsidRPr="0087398E" w:rsidRDefault="001F3137" w:rsidP="001F3137">
      <w:pPr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b/>
          <w:color w:val="1D1B11" w:themeColor="background2" w:themeShade="1A"/>
          <w:sz w:val="26"/>
          <w:szCs w:val="26"/>
        </w:rPr>
        <w:t>за счет средств бюджета муниципального образования «</w:t>
      </w:r>
      <w:r w:rsidR="00857F48" w:rsidRPr="0087398E">
        <w:rPr>
          <w:b/>
          <w:color w:val="1D1B11" w:themeColor="background2" w:themeShade="1A"/>
          <w:sz w:val="26"/>
          <w:szCs w:val="26"/>
        </w:rPr>
        <w:t>Бежаницкий</w:t>
      </w:r>
      <w:r w:rsidRPr="0087398E">
        <w:rPr>
          <w:b/>
          <w:color w:val="1D1B11" w:themeColor="background2" w:themeShade="1A"/>
          <w:sz w:val="26"/>
          <w:szCs w:val="26"/>
        </w:rPr>
        <w:t xml:space="preserve"> район»</w:t>
      </w:r>
    </w:p>
    <w:p w:rsidR="001F3137" w:rsidRPr="0087398E" w:rsidRDefault="001F3137" w:rsidP="001F3137">
      <w:pPr>
        <w:jc w:val="both"/>
        <w:rPr>
          <w:b/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 Основные положения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1.1. </w:t>
      </w:r>
      <w:proofErr w:type="gramStart"/>
      <w:r w:rsidRPr="0087398E">
        <w:rPr>
          <w:color w:val="1D1B11" w:themeColor="background2" w:themeShade="1A"/>
          <w:sz w:val="26"/>
          <w:szCs w:val="26"/>
        </w:rPr>
        <w:t>Муниципальной гарантией (далее - гарантия) признается вид долгового обязательства, в силу которого муниципальное образование «</w:t>
      </w:r>
      <w:r w:rsidR="00857F48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образования «</w:t>
      </w:r>
      <w:r w:rsidR="00857F48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(далее – бюджет района) в соответствии с условиями даваемого гарантом обязательства</w:t>
      </w:r>
      <w:proofErr w:type="gramEnd"/>
      <w:r w:rsidRPr="0087398E">
        <w:rPr>
          <w:color w:val="1D1B11" w:themeColor="background2" w:themeShade="1A"/>
          <w:sz w:val="26"/>
          <w:szCs w:val="26"/>
        </w:rPr>
        <w:t xml:space="preserve"> отвечать за исполнение третьим лицом (принципалом) его обязательств перед бенефициаром.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1.2. Муниципальная гарантия предоставляется в пределах общей суммы предоставляемых муниципальных гарантий, предусмотренных на эти цели в бюджете района на очередной финансовый год и плановый период, в соответствии с действующим законодательством Российской Федерации и настоящим Порядком.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1.3. 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осуществляется Администрацией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1.4. Гарантии предоставляются в обеспечение исполнения обязательств юридических лиц, зарегистрированных на территории муниципального образования «</w:t>
      </w:r>
      <w:r w:rsidR="003D39ED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или имеющих обособленные подразделения (представительства, филиалы) на его территории, осуществляющих деятельность на территории муниципального образования «</w:t>
      </w:r>
      <w:r w:rsidR="003D39ED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и уплачивающих налоги в бюджет района.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1.5. Гарантии не могут быть предоставлены в обеспечение обязательств юридических лиц, находящихся в процессе реорганизации, ликвидации или несостоятельности (банкротства).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1.6. Письменная форма гарантии является обязательной. Несоблюдение письменной формы гарантии влечет ее недействительность (ничтожность).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1.7. В гарантии должны быть указаны: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наименование гаранта и наименование органа, выдавшего гарантию;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обязательство, в обеспечение которого выдается гарантия;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3) объем обязательств гаранта по гарантии и предельная сумма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4) определение гарантийного случая;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5) наименование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6) </w:t>
      </w:r>
      <w:proofErr w:type="spellStart"/>
      <w:r w:rsidRPr="0087398E">
        <w:rPr>
          <w:color w:val="1D1B11" w:themeColor="background2" w:themeShade="1A"/>
          <w:sz w:val="26"/>
          <w:szCs w:val="26"/>
        </w:rPr>
        <w:t>безотзывность</w:t>
      </w:r>
      <w:proofErr w:type="spellEnd"/>
      <w:r w:rsidRPr="0087398E">
        <w:rPr>
          <w:color w:val="1D1B11" w:themeColor="background2" w:themeShade="1A"/>
          <w:sz w:val="26"/>
          <w:szCs w:val="26"/>
        </w:rPr>
        <w:t xml:space="preserve"> гарантии или условия ее отзыва;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7) основания для выдачи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8) вступление в силу (дата выдачи)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9) срок действия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lastRenderedPageBreak/>
        <w:t>10) порядок исполнения гарантом обязательств по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11)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инципала, обеспеченных гарантией;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12) наличие или отсутствие права требования гаранта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13) иные условия гарантии, а также сведения, определенные Бюджетным кодексом Российской Федерации, правовыми актами гаранта, актами органа, выдавшего гарантию.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1.8. Администрация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 как гарант несет субсидиарную ответственность гаранта по обеспеченному им обязательству принципала.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1.9. Предусмотренное гарантией обязательство гаранта перед бенефициаром ограничивается уплатой суммы неисполненных на момент предъявления требования бенефициара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инципала, обеспеченных гарантией, но не более суммы, на которую выдана гарантия. Исполнение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 по уплате штрафов, комиссий, пени, иных платежей, не входящих в основную сумму долга, не обеспечивается муниципальной гарантией.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1.10. Вступление в силу гарантии может быть определено календарной датой или наступлением события (условия), которое может произойти в будущем. Срок действия гарантии определяется условиями гарантии.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2. Условия предоставления гарантий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2.1. Предоставление гарантий осуществляется на основании постановления Администрации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района, а также договора о предоставлении гарантии при условии: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проведения анализа финансового состояния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предоставления принципалом обеспечения исполнения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3) отсутствия у принципала, его поручителей (гарантов) просроченной задолженности по денежным обязательствам перед бюджетом района, по обязательным платежам в бюджетную систему Российской Федерации, а также неурегулированных обязательств по гарантиям, ранее предоставленным Администрацией </w:t>
      </w:r>
      <w:r w:rsidR="003D39ED" w:rsidRPr="0087398E">
        <w:rPr>
          <w:color w:val="1D1B11" w:themeColor="background2" w:themeShade="1A"/>
          <w:sz w:val="26"/>
          <w:szCs w:val="26"/>
        </w:rPr>
        <w:t xml:space="preserve">Бежаницкого </w:t>
      </w:r>
      <w:r w:rsidRPr="0087398E">
        <w:rPr>
          <w:color w:val="1D1B11" w:themeColor="background2" w:themeShade="1A"/>
          <w:sz w:val="26"/>
          <w:szCs w:val="26"/>
        </w:rPr>
        <w:t xml:space="preserve"> района.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2.2. Анализ финансового состояния принципала в целях предоставления гарантии осуществляется Финансовым управлением Администрации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 (далее – Финансовое управление).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гарантии без права регрессного требования гаранта к принципалу анализ финансового состояния принципала может не проводиться, обеспечение исполнения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 в указанном случае не требуется.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2.3. Обеспечение исполнения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Договор об обеспечении исполнения принципалом его возможных будущих </w:t>
      </w:r>
      <w:r w:rsidRPr="0087398E">
        <w:rPr>
          <w:color w:val="1D1B11" w:themeColor="background2" w:themeShade="1A"/>
          <w:sz w:val="26"/>
          <w:szCs w:val="26"/>
        </w:rPr>
        <w:lastRenderedPageBreak/>
        <w:t>обязательств по возмещению гаранту в порядке регресса сумм, уплаченных гарантом во исполнение (частичное исполнение) обязательств по гарантии (далее - договор об обеспечении обязательств), заключается до выдачи гарантии.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2.4. Способами обеспечения исполнения регрессных обязательств по гарантии могут быть только банковские гарантии, поручительства, залог имущества в размере не менее 100 процентов обязательств по гарантии. Способы обеспечения исполнения обязательств должны иметь высокую степень ликвидности.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В случае обеспечения исполнения регрессивных обязательств в виде залога имущества, оценка рыночной стоимости и ликвидности передаваемого в залог имущества проводится независимым оценщиком. Передаваемое в залог имущество должно быть застраховано от всех рисков утраты и повреждения на сумму не менее его рыночной стоимости, выгодоприобретателем по договору страхования должна быть указана Администрация </w:t>
      </w:r>
      <w:proofErr w:type="spellStart"/>
      <w:r w:rsidR="003D39ED" w:rsidRPr="0087398E">
        <w:rPr>
          <w:color w:val="1D1B11" w:themeColor="background2" w:themeShade="1A"/>
          <w:sz w:val="26"/>
          <w:szCs w:val="26"/>
        </w:rPr>
        <w:t>Бежакницкого</w:t>
      </w:r>
      <w:proofErr w:type="spellEnd"/>
      <w:r w:rsidRPr="0087398E">
        <w:rPr>
          <w:color w:val="1D1B11" w:themeColor="background2" w:themeShade="1A"/>
          <w:sz w:val="26"/>
          <w:szCs w:val="26"/>
        </w:rPr>
        <w:t xml:space="preserve"> района. Передаваемое в залог имущество должно находиться на территории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района. Оценка рыночной и ликвидационной стоимости и страхование передаваемого в залог имущества осуществляются залогодателем за свой счет.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2.5. В случае предоставления гарантии в обеспечение исполнения обязательств муниципального унитарного предприятия гарантия предоставляется без права  регрессного требования гаранта к принципалу в связи с исполнением гарантии и, соответственно, без предоставления обеспечения исполнения обязательств.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3. Порядок рассмотрения обращений и принятия решений</w:t>
      </w: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о предоставлении гарантий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3.1. Юридическое лицо, претендующее на получение гарантии в обеспечение его обязательств перед бенефициаром (далее - претендент), направляет в адрес Администрации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 следующие документы: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1) </w:t>
      </w:r>
      <w:hyperlink w:anchor="P175" w:history="1">
        <w:r w:rsidRPr="0087398E">
          <w:rPr>
            <w:rStyle w:val="a3"/>
            <w:color w:val="1D1B11" w:themeColor="background2" w:themeShade="1A"/>
            <w:sz w:val="26"/>
            <w:szCs w:val="26"/>
            <w:u w:val="none"/>
          </w:rPr>
          <w:t>заявление</w:t>
        </w:r>
      </w:hyperlink>
      <w:r w:rsidRPr="0087398E">
        <w:rPr>
          <w:color w:val="1D1B11" w:themeColor="background2" w:themeShade="1A"/>
          <w:sz w:val="26"/>
          <w:szCs w:val="26"/>
        </w:rPr>
        <w:t xml:space="preserve"> на предоставление муниципальной гарантии муниципального образования «</w:t>
      </w:r>
      <w:r w:rsidR="003D39ED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на бланке юридического лица с указанием размера гарантии в рублях;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копии учредительных документов принципала, залогодателя, поручителя (гаранта) со всеми изменениями, дополнениями;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3) копия свидетельства о постановке на налоговый учет принципала, залогодателя, поручителя (гаранта);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4) копия свидетельства о внесении записи в единый государственный реестр принципала, залогодателя, поручителя (гаранта);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5) копия бухгалтерского отчета принципала, залогодателя, поручителя (гаранта) за отчетный финансовый год и на последнюю отчетную дату по установленным формам с приложением пояснительных записок к ним, с отметкой налогового органа об их принятии. При упрощенной системе налогообложения - налоговая декларация за последний отчетный период;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6)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7) справки налогового органа, территориального органа Пенсионного фонда Российской Федерации и территориального фонда социального страхования Российской Федерации о состоянии расчетов по налогам, сборам и иным обязательным платежам в бюджеты бюджетной системы Российской Федерации, составленные не ранее чем на 1 число месяца, в котором подано заявление о </w:t>
      </w:r>
      <w:r w:rsidRPr="0087398E">
        <w:rPr>
          <w:color w:val="1D1B11" w:themeColor="background2" w:themeShade="1A"/>
          <w:sz w:val="26"/>
          <w:szCs w:val="26"/>
        </w:rPr>
        <w:lastRenderedPageBreak/>
        <w:t>предоставлении муниципальной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8) справки из обслуживающих банков (кредитных учреждений) об оборотах по расчетным счетам принципала за последние шесть месяцев на день подачи заявления, об отсутствии картотеки к расчетным счетам, наличии (отсутствии) ссудной задолженности.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9) копии документов, удостоверяющих право собственности залогодателя на передаваемое в залог имущество;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10) перечень передаваемого в залог имущества с указанием балансовой стоимости, степени износа и нормативного срока службы на 1-е число последнего месяца;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11) документ, подтверждающий отсутствие прав третьих лиц на передаваемое в залог имущество.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3.2. Комплект документов, представленный претендентом, поступает на рассмотрение в Финансовое управление.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Финансовое управление возвращает претенденту представленные им документы в следующих случаях: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неудовлетворительное финансовое состояние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ненадежность (</w:t>
      </w:r>
      <w:proofErr w:type="spellStart"/>
      <w:r w:rsidRPr="0087398E">
        <w:rPr>
          <w:color w:val="1D1B11" w:themeColor="background2" w:themeShade="1A"/>
          <w:sz w:val="26"/>
          <w:szCs w:val="26"/>
        </w:rPr>
        <w:t>неликвидность</w:t>
      </w:r>
      <w:proofErr w:type="spellEnd"/>
      <w:r w:rsidRPr="0087398E">
        <w:rPr>
          <w:color w:val="1D1B11" w:themeColor="background2" w:themeShade="1A"/>
          <w:sz w:val="26"/>
          <w:szCs w:val="26"/>
        </w:rPr>
        <w:t>) обеспечения исполнения обязательства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3) недостаточность предоставляемого обеспечения исполнения обязательства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bookmarkStart w:id="1" w:name="P129"/>
      <w:bookmarkEnd w:id="1"/>
      <w:r w:rsidRPr="0087398E">
        <w:rPr>
          <w:color w:val="1D1B11" w:themeColor="background2" w:themeShade="1A"/>
          <w:sz w:val="26"/>
          <w:szCs w:val="26"/>
        </w:rPr>
        <w:t xml:space="preserve">4) наличие у принципала, его поручителей (гарантов) просроченной задолженности по денежным обязательствам перед бюджетом района, по обязательным платежам в бюджетную систему Российской Федерации, а также неурегулированных обязательств по гарантиям, ранее предоставленных Администрацией </w:t>
      </w:r>
      <w:r w:rsidR="003D39ED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5) нахождение принципала на момент принятия решения о предоставлении гарантии в процессе реорганизации, ликвидации или процедуре банкротства;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6) представление принципалом заведомо ложных сведений либо сведений, не соответствующих действительности (недостоверных сведений);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bookmarkStart w:id="2" w:name="P132"/>
      <w:bookmarkEnd w:id="2"/>
      <w:r w:rsidRPr="0087398E">
        <w:rPr>
          <w:color w:val="1D1B11" w:themeColor="background2" w:themeShade="1A"/>
          <w:sz w:val="26"/>
          <w:szCs w:val="26"/>
        </w:rPr>
        <w:t xml:space="preserve">7) предоставление пакета документов, несоответствующего перечню документов, определенному постановлением Администрации </w:t>
      </w:r>
      <w:r w:rsidR="00DC216E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Основанием для отказа в предоставлении гарантии может также являться отсутствие или недостаточность общей суммы предоставляемых муниципальных гарантий, предусмотренных на эти цели в бюджете района на очередной финансовый год и плановый период.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Решение об отказе в предоставлении гарантии направляется принципалу, в обеспечении исполнения обязательств которого отказано, и должно содержать: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наименование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основание отказа в предоставлении гарантии.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3.3. Финансовое управление в течение десяти рабочих дней проводит анализ финансового состояния претендента и его возможности в полном объеме исполнить обязательство, в обеспечение которого запрашивается гарантия.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3.4. Решение о предоставлении гарантии принимается путем издания постановления Администрации </w:t>
      </w:r>
      <w:r w:rsidR="00DC216E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района, подготовка проекта которого производится Финансовым управлением в течение пяти рабочих дней после вынесения положительного заключения о возможности предоставления претенденту гарантии.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В постановлении о предоставлении гарантии указываются: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наименование бенефициара;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наименование принципала;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lastRenderedPageBreak/>
        <w:t>3) обязательство, в обеспечение которого выдается гарантия;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4) объем обязательств гаранта по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5) срок действия гарантии;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6) 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4. Исполнение обязательств по предоставленным гарантиям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4.1. Исполнение гарантии ведет к возникновению у Администрации </w:t>
      </w:r>
      <w:r w:rsidR="00DC216E" w:rsidRPr="0087398E">
        <w:rPr>
          <w:color w:val="1D1B11" w:themeColor="background2" w:themeShade="1A"/>
          <w:sz w:val="26"/>
          <w:szCs w:val="26"/>
        </w:rPr>
        <w:t>Бежаницкого</w:t>
      </w:r>
      <w:r w:rsidRPr="0087398E">
        <w:rPr>
          <w:color w:val="1D1B11" w:themeColor="background2" w:themeShade="1A"/>
          <w:sz w:val="26"/>
          <w:szCs w:val="26"/>
        </w:rPr>
        <w:t xml:space="preserve"> района права требования в порядке регресса возмещения сумм, уплаченных бенефициару по гарантии, к лицу, предоставившему обеспечение исполнения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инципала, за исключением случаев, установленных пунктом 2.5 настоящего Порядка.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4.2.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района.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4.3. Если исполнение гарантом гарантии не ведет к возникновению права регрессного требования гаранта к принципалу и не обусловлено уступкой прав требования бенефициара к принципалу, исполнение таких гарантий подлежит отражению в составе расходов бюджета района на дату возникновения гарантийного случая.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 xml:space="preserve">4.4.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требования</w:t>
      </w:r>
      <w:proofErr w:type="gramEnd"/>
      <w:r w:rsidRPr="0087398E">
        <w:rPr>
          <w:color w:val="1D1B11" w:themeColor="background2" w:themeShade="1A"/>
          <w:sz w:val="26"/>
          <w:szCs w:val="26"/>
        </w:rPr>
        <w:t xml:space="preserve"> по которым перешли от бенефициара к гаранту, отражаются как возврат бюджетных кредитов.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5. Изменения, отзыв муниципальной гарантии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5.1. Муниципальная гарантия отзывается гарантом в следующих случаях: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1) внесение в договор, в обеспечение обязательств по которому предоставляется гарантия, не согласованных с гарантом условий;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2) недействительность договора об обеспечении исполнения возможных обязатель</w:t>
      </w:r>
      <w:proofErr w:type="gramStart"/>
      <w:r w:rsidRPr="0087398E">
        <w:rPr>
          <w:color w:val="1D1B11" w:themeColor="background2" w:themeShade="1A"/>
          <w:sz w:val="26"/>
          <w:szCs w:val="26"/>
        </w:rPr>
        <w:t>ств пр</w:t>
      </w:r>
      <w:proofErr w:type="gramEnd"/>
      <w:r w:rsidRPr="0087398E">
        <w:rPr>
          <w:color w:val="1D1B11" w:themeColor="background2" w:themeShade="1A"/>
          <w:sz w:val="26"/>
          <w:szCs w:val="26"/>
        </w:rPr>
        <w:t>инципала.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jc w:val="center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6. Учет и контроль предоставленных гарантий</w:t>
      </w:r>
    </w:p>
    <w:p w:rsidR="001F3137" w:rsidRPr="0087398E" w:rsidRDefault="001F3137" w:rsidP="001F3137">
      <w:pPr>
        <w:pStyle w:val="a6"/>
        <w:jc w:val="both"/>
        <w:rPr>
          <w:color w:val="1D1B11" w:themeColor="background2" w:themeShade="1A"/>
          <w:sz w:val="26"/>
          <w:szCs w:val="26"/>
        </w:rPr>
      </w:pP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6.1. Общая сумма предоставленных гарантий включается в состав муниципального долга муниципального образования «</w:t>
      </w:r>
      <w:r w:rsidR="00DC216E" w:rsidRPr="0087398E">
        <w:rPr>
          <w:color w:val="1D1B11" w:themeColor="background2" w:themeShade="1A"/>
          <w:sz w:val="26"/>
          <w:szCs w:val="26"/>
        </w:rPr>
        <w:t>Бежаницкий</w:t>
      </w:r>
      <w:r w:rsidRPr="0087398E">
        <w:rPr>
          <w:color w:val="1D1B11" w:themeColor="background2" w:themeShade="1A"/>
          <w:sz w:val="26"/>
          <w:szCs w:val="26"/>
        </w:rPr>
        <w:t xml:space="preserve"> район» как вид долгового обязательства.</w:t>
      </w:r>
    </w:p>
    <w:p w:rsidR="001F3137" w:rsidRPr="0087398E" w:rsidRDefault="001F3137" w:rsidP="001F3137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6.2. Предоставление и исполнение муниципальной гарантии подлежит отражению в муниципальной долговой книге.</w:t>
      </w:r>
    </w:p>
    <w:p w:rsidR="0031050B" w:rsidRPr="0087398E" w:rsidRDefault="001F3137" w:rsidP="00DC216E">
      <w:pPr>
        <w:pStyle w:val="a6"/>
        <w:ind w:firstLine="708"/>
        <w:jc w:val="both"/>
        <w:rPr>
          <w:color w:val="1D1B11" w:themeColor="background2" w:themeShade="1A"/>
          <w:sz w:val="26"/>
          <w:szCs w:val="26"/>
        </w:rPr>
      </w:pPr>
      <w:r w:rsidRPr="0087398E">
        <w:rPr>
          <w:color w:val="1D1B11" w:themeColor="background2" w:themeShade="1A"/>
          <w:sz w:val="26"/>
          <w:szCs w:val="26"/>
        </w:rPr>
        <w:t>6.3. Финансовое управление ведет учет предоставленных гарантий, исполнения обязательств принципала, обеспеченных гарантиями, а также учет осуществления гарантом платеж</w:t>
      </w:r>
      <w:r w:rsidR="00DC216E" w:rsidRPr="0087398E">
        <w:rPr>
          <w:color w:val="1D1B11" w:themeColor="background2" w:themeShade="1A"/>
          <w:sz w:val="26"/>
          <w:szCs w:val="26"/>
        </w:rPr>
        <w:t xml:space="preserve">ей </w:t>
      </w:r>
      <w:proofErr w:type="gramStart"/>
      <w:r w:rsidR="00DC216E" w:rsidRPr="0087398E">
        <w:rPr>
          <w:color w:val="1D1B11" w:themeColor="background2" w:themeShade="1A"/>
          <w:sz w:val="26"/>
          <w:szCs w:val="26"/>
        </w:rPr>
        <w:t>по</w:t>
      </w:r>
      <w:proofErr w:type="gramEnd"/>
      <w:r w:rsidR="00DC216E" w:rsidRPr="0087398E">
        <w:rPr>
          <w:color w:val="1D1B11" w:themeColor="background2" w:themeShade="1A"/>
          <w:sz w:val="26"/>
          <w:szCs w:val="26"/>
        </w:rPr>
        <w:t xml:space="preserve"> предоставленным гарантия.</w:t>
      </w:r>
    </w:p>
    <w:sectPr w:rsidR="0031050B" w:rsidRPr="0087398E" w:rsidSect="0087398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137"/>
    <w:rsid w:val="001F3137"/>
    <w:rsid w:val="003D39ED"/>
    <w:rsid w:val="005E2E7C"/>
    <w:rsid w:val="005E45FA"/>
    <w:rsid w:val="00791384"/>
    <w:rsid w:val="00857F48"/>
    <w:rsid w:val="0087398E"/>
    <w:rsid w:val="00982911"/>
    <w:rsid w:val="00B57ECD"/>
    <w:rsid w:val="00CD284B"/>
    <w:rsid w:val="00DC216E"/>
    <w:rsid w:val="00E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E41102"/>
    <w:pPr>
      <w:widowControl/>
      <w:numPr>
        <w:ilvl w:val="7"/>
        <w:numId w:val="1"/>
      </w:numPr>
      <w:spacing w:before="240" w:after="60"/>
      <w:outlineLvl w:val="7"/>
    </w:pPr>
    <w:rPr>
      <w:i/>
      <w:iCs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137"/>
    <w:rPr>
      <w:color w:val="0000FF"/>
      <w:u w:val="single"/>
    </w:rPr>
  </w:style>
  <w:style w:type="paragraph" w:styleId="a4">
    <w:name w:val="List Paragraph"/>
    <w:basedOn w:val="a"/>
    <w:qFormat/>
    <w:rsid w:val="001F3137"/>
    <w:pPr>
      <w:ind w:left="720"/>
    </w:pPr>
  </w:style>
  <w:style w:type="paragraph" w:customStyle="1" w:styleId="1">
    <w:name w:val="Без интервала1"/>
    <w:rsid w:val="001F313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5">
    <w:name w:val="?????????"/>
    <w:basedOn w:val="a"/>
    <w:rsid w:val="001F3137"/>
    <w:pPr>
      <w:widowControl/>
      <w:tabs>
        <w:tab w:val="left" w:pos="709"/>
      </w:tabs>
      <w:spacing w:line="200" w:lineRule="atLeast"/>
    </w:pPr>
    <w:rPr>
      <w:color w:val="00000A"/>
      <w:sz w:val="24"/>
      <w:szCs w:val="20"/>
    </w:rPr>
  </w:style>
  <w:style w:type="paragraph" w:customStyle="1" w:styleId="10">
    <w:name w:val="Абзац списка1"/>
    <w:basedOn w:val="a"/>
    <w:rsid w:val="001F3137"/>
    <w:pPr>
      <w:widowControl/>
      <w:spacing w:after="200" w:line="276" w:lineRule="auto"/>
    </w:pPr>
    <w:rPr>
      <w:rFonts w:ascii="Calibri" w:eastAsia="Lucida Sans Unicode" w:hAnsi="Calibri" w:cs="font184"/>
      <w:sz w:val="22"/>
      <w:szCs w:val="22"/>
    </w:rPr>
  </w:style>
  <w:style w:type="paragraph" w:styleId="a6">
    <w:name w:val="No Spacing"/>
    <w:qFormat/>
    <w:rsid w:val="001F31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411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E41102"/>
    <w:pPr>
      <w:widowControl/>
      <w:jc w:val="center"/>
    </w:pPr>
    <w:rPr>
      <w:kern w:val="0"/>
      <w:lang w:eastAsia="ar-SA"/>
    </w:rPr>
  </w:style>
  <w:style w:type="character" w:customStyle="1" w:styleId="a9">
    <w:name w:val="Название Знак"/>
    <w:basedOn w:val="a0"/>
    <w:link w:val="a7"/>
    <w:rsid w:val="00E411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Subtitle"/>
    <w:basedOn w:val="a"/>
    <w:next w:val="a"/>
    <w:link w:val="aa"/>
    <w:qFormat/>
    <w:rsid w:val="00E41102"/>
    <w:pPr>
      <w:keepNext/>
      <w:widowControl/>
      <w:spacing w:before="240" w:after="120"/>
      <w:jc w:val="center"/>
    </w:pPr>
    <w:rPr>
      <w:rFonts w:ascii="Arial" w:eastAsia="Microsoft YaHei" w:hAnsi="Arial" w:cs="Mangal"/>
      <w:i/>
      <w:iCs/>
      <w:kern w:val="0"/>
      <w:lang w:eastAsia="ar-SA"/>
    </w:rPr>
  </w:style>
  <w:style w:type="character" w:customStyle="1" w:styleId="aa">
    <w:name w:val="Подзаголовок Знак"/>
    <w:basedOn w:val="a0"/>
    <w:link w:val="a8"/>
    <w:rsid w:val="00E4110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11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10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zhanicy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User</cp:lastModifiedBy>
  <cp:revision>7</cp:revision>
  <dcterms:created xsi:type="dcterms:W3CDTF">2018-03-30T06:14:00Z</dcterms:created>
  <dcterms:modified xsi:type="dcterms:W3CDTF">2018-06-19T12:45:00Z</dcterms:modified>
</cp:coreProperties>
</file>